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DA39" w14:textId="77777777" w:rsidR="00772B04" w:rsidRPr="000B320C" w:rsidRDefault="0015657A">
      <w:r w:rsidRPr="000B320C">
        <w:t xml:space="preserve">Table S1a. Comparison of human and dog </w:t>
      </w:r>
      <w:r w:rsidR="005A55F7">
        <w:t xml:space="preserve">collagen </w:t>
      </w:r>
      <w:r w:rsidRPr="000B320C">
        <w:t xml:space="preserve">stable carbon and nitrogen isotope values from other studies. Criterion for inclusion in the table is that the </w:t>
      </w:r>
      <w:r w:rsidR="002E4569">
        <w:t xml:space="preserve">data represent multiple </w:t>
      </w:r>
      <w:r w:rsidRPr="000B320C">
        <w:t xml:space="preserve">dogs and humans clearly from the same site and time period.  </w:t>
      </w:r>
    </w:p>
    <w:p w14:paraId="661DA980" w14:textId="77777777" w:rsidR="00772B04" w:rsidRPr="000B320C" w:rsidRDefault="00772B04"/>
    <w:tbl>
      <w:tblPr>
        <w:tblW w:w="13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605"/>
        <w:gridCol w:w="1833"/>
        <w:gridCol w:w="1605"/>
        <w:gridCol w:w="1608"/>
        <w:gridCol w:w="3399"/>
      </w:tblGrid>
      <w:tr w:rsidR="00F8071C" w:rsidRPr="000B320C" w14:paraId="7C27AD52" w14:textId="77777777" w:rsidTr="00AA5B38">
        <w:tc>
          <w:tcPr>
            <w:tcW w:w="993" w:type="dxa"/>
          </w:tcPr>
          <w:p w14:paraId="1AFC89D0" w14:textId="77777777" w:rsidR="00772B04" w:rsidRPr="000B320C" w:rsidRDefault="0015657A" w:rsidP="00F8071C">
            <w:pPr>
              <w:rPr>
                <w:b/>
              </w:rPr>
            </w:pPr>
            <w:r w:rsidRPr="000B320C">
              <w:rPr>
                <w:b/>
              </w:rPr>
              <w:t>Source</w:t>
            </w:r>
          </w:p>
        </w:tc>
        <w:tc>
          <w:tcPr>
            <w:tcW w:w="2551" w:type="dxa"/>
          </w:tcPr>
          <w:p w14:paraId="653FC322" w14:textId="77777777" w:rsidR="00F8071C" w:rsidRPr="000B320C" w:rsidRDefault="00F8071C" w:rsidP="00F8071C">
            <w:pPr>
              <w:rPr>
                <w:b/>
              </w:rPr>
            </w:pPr>
            <w:r w:rsidRPr="000B320C">
              <w:rPr>
                <w:b/>
              </w:rPr>
              <w:t>Site/region</w:t>
            </w:r>
          </w:p>
        </w:tc>
        <w:tc>
          <w:tcPr>
            <w:tcW w:w="1605" w:type="dxa"/>
          </w:tcPr>
          <w:p w14:paraId="5A2DCFA2" w14:textId="77777777" w:rsidR="00F8071C" w:rsidRPr="000B320C" w:rsidRDefault="00AA5B38" w:rsidP="00F8071C">
            <w:pPr>
              <w:rPr>
                <w:b/>
              </w:rPr>
            </w:pPr>
            <w:r>
              <w:rPr>
                <w:b/>
              </w:rPr>
              <w:t>#</w:t>
            </w:r>
            <w:r w:rsidR="00F8071C" w:rsidRPr="000B320C">
              <w:rPr>
                <w:b/>
              </w:rPr>
              <w:t xml:space="preserve"> </w:t>
            </w:r>
            <w:proofErr w:type="gramStart"/>
            <w:r w:rsidR="00F8071C" w:rsidRPr="000B320C">
              <w:rPr>
                <w:b/>
              </w:rPr>
              <w:t>human</w:t>
            </w:r>
            <w:proofErr w:type="gramEnd"/>
            <w:r w:rsidR="00F8071C" w:rsidRPr="000B320C">
              <w:rPr>
                <w:b/>
              </w:rPr>
              <w:t>/dog</w:t>
            </w:r>
          </w:p>
        </w:tc>
        <w:tc>
          <w:tcPr>
            <w:tcW w:w="1833" w:type="dxa"/>
          </w:tcPr>
          <w:p w14:paraId="2A83635A" w14:textId="77777777" w:rsidR="00F8071C" w:rsidRPr="000B320C" w:rsidRDefault="00F8071C" w:rsidP="00F8071C">
            <w:pPr>
              <w:rPr>
                <w:b/>
              </w:rPr>
            </w:pPr>
            <w:r w:rsidRPr="000B320C">
              <w:rPr>
                <w:b/>
              </w:rPr>
              <w:t>Date (years BP)</w:t>
            </w:r>
          </w:p>
        </w:tc>
        <w:tc>
          <w:tcPr>
            <w:tcW w:w="1605" w:type="dxa"/>
          </w:tcPr>
          <w:p w14:paraId="0D8743F2" w14:textId="77777777" w:rsidR="00F8071C" w:rsidRPr="000B320C" w:rsidRDefault="00F8071C" w:rsidP="00F8071C">
            <w:pPr>
              <w:rPr>
                <w:b/>
              </w:rPr>
            </w:pPr>
            <w:proofErr w:type="gramStart"/>
            <w:r w:rsidRPr="000B320C">
              <w:rPr>
                <w:b/>
              </w:rPr>
              <w:t>Δ</w:t>
            </w:r>
            <w:r w:rsidRPr="000B320C">
              <w:rPr>
                <w:b/>
                <w:vertAlign w:val="superscript"/>
              </w:rPr>
              <w:t>13</w:t>
            </w:r>
            <w:r w:rsidRPr="000B320C">
              <w:rPr>
                <w:b/>
              </w:rPr>
              <w:t>C</w:t>
            </w:r>
            <w:r w:rsidRPr="000B320C">
              <w:rPr>
                <w:b/>
                <w:vertAlign w:val="subscript"/>
              </w:rPr>
              <w:t>(</w:t>
            </w:r>
            <w:proofErr w:type="gramEnd"/>
            <w:r w:rsidRPr="000B320C">
              <w:rPr>
                <w:b/>
                <w:vertAlign w:val="subscript"/>
              </w:rPr>
              <w:t>human-dog)</w:t>
            </w:r>
          </w:p>
        </w:tc>
        <w:tc>
          <w:tcPr>
            <w:tcW w:w="1608" w:type="dxa"/>
          </w:tcPr>
          <w:p w14:paraId="194662FF" w14:textId="77777777" w:rsidR="00F8071C" w:rsidRPr="000B320C" w:rsidRDefault="00F8071C" w:rsidP="00F8071C">
            <w:pPr>
              <w:rPr>
                <w:b/>
              </w:rPr>
            </w:pPr>
            <w:proofErr w:type="gramStart"/>
            <w:r w:rsidRPr="000B320C">
              <w:rPr>
                <w:b/>
              </w:rPr>
              <w:t>Δ</w:t>
            </w:r>
            <w:r w:rsidRPr="000B320C">
              <w:rPr>
                <w:b/>
                <w:vertAlign w:val="superscript"/>
              </w:rPr>
              <w:t>15</w:t>
            </w:r>
            <w:r w:rsidRPr="000B320C">
              <w:rPr>
                <w:b/>
              </w:rPr>
              <w:t>N</w:t>
            </w:r>
            <w:r w:rsidRPr="000B320C">
              <w:rPr>
                <w:b/>
                <w:vertAlign w:val="subscript"/>
              </w:rPr>
              <w:t>(</w:t>
            </w:r>
            <w:proofErr w:type="gramEnd"/>
            <w:r w:rsidRPr="000B320C">
              <w:rPr>
                <w:b/>
                <w:vertAlign w:val="subscript"/>
              </w:rPr>
              <w:t>human-dog)</w:t>
            </w:r>
          </w:p>
        </w:tc>
        <w:tc>
          <w:tcPr>
            <w:tcW w:w="3399" w:type="dxa"/>
          </w:tcPr>
          <w:p w14:paraId="3C50A070" w14:textId="77777777" w:rsidR="00F8071C" w:rsidRPr="000B320C" w:rsidRDefault="00F8071C" w:rsidP="00F8071C">
            <w:pPr>
              <w:rPr>
                <w:b/>
              </w:rPr>
            </w:pPr>
            <w:r w:rsidRPr="000B320C">
              <w:rPr>
                <w:b/>
              </w:rPr>
              <w:t>Major human diet components</w:t>
            </w:r>
          </w:p>
        </w:tc>
      </w:tr>
      <w:tr w:rsidR="00F8071C" w:rsidRPr="000B320C" w14:paraId="15829A92" w14:textId="77777777" w:rsidTr="00AA5B38">
        <w:tc>
          <w:tcPr>
            <w:tcW w:w="993" w:type="dxa"/>
          </w:tcPr>
          <w:p w14:paraId="19310B51" w14:textId="77777777" w:rsidR="00F8071C" w:rsidRPr="000B320C" w:rsidRDefault="00BF1C5F" w:rsidP="00F8071C">
            <w:r>
              <w:t>[</w:t>
            </w:r>
            <w:proofErr w:type="gramStart"/>
            <w:r>
              <w:t>1]</w:t>
            </w:r>
            <w:r w:rsidR="00F8071C" w:rsidRPr="000B320C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</w:tcPr>
          <w:p w14:paraId="098BE4E4" w14:textId="77777777" w:rsidR="00F8071C" w:rsidRPr="000B320C" w:rsidRDefault="00F8071C" w:rsidP="00F8071C">
            <w:proofErr w:type="spellStart"/>
            <w:r w:rsidRPr="000B320C">
              <w:t>Aitutaki</w:t>
            </w:r>
            <w:proofErr w:type="spellEnd"/>
            <w:r w:rsidRPr="000B320C">
              <w:t>, Cook Islands</w:t>
            </w:r>
          </w:p>
        </w:tc>
        <w:tc>
          <w:tcPr>
            <w:tcW w:w="1605" w:type="dxa"/>
          </w:tcPr>
          <w:p w14:paraId="56D8B6B9" w14:textId="77777777" w:rsidR="00F8071C" w:rsidRPr="000B320C" w:rsidRDefault="00F8071C" w:rsidP="00F8071C">
            <w:r w:rsidRPr="000B320C">
              <w:t>8/5</w:t>
            </w:r>
          </w:p>
        </w:tc>
        <w:tc>
          <w:tcPr>
            <w:tcW w:w="1833" w:type="dxa"/>
          </w:tcPr>
          <w:p w14:paraId="52E6C460" w14:textId="77777777" w:rsidR="00F8071C" w:rsidRPr="000B320C" w:rsidRDefault="00F8071C" w:rsidP="00F8071C">
            <w:r w:rsidRPr="000B320C">
              <w:t>c. 700–500</w:t>
            </w:r>
          </w:p>
        </w:tc>
        <w:tc>
          <w:tcPr>
            <w:tcW w:w="1605" w:type="dxa"/>
          </w:tcPr>
          <w:p w14:paraId="7A0889A9" w14:textId="77777777" w:rsidR="00F8071C" w:rsidRPr="000B320C" w:rsidRDefault="00F8071C" w:rsidP="00F8071C">
            <w:r w:rsidRPr="000B320C">
              <w:t>-2.5</w:t>
            </w:r>
          </w:p>
        </w:tc>
        <w:tc>
          <w:tcPr>
            <w:tcW w:w="1608" w:type="dxa"/>
          </w:tcPr>
          <w:p w14:paraId="34962316" w14:textId="77777777" w:rsidR="00F8071C" w:rsidRPr="000B320C" w:rsidRDefault="00F8071C" w:rsidP="00F8071C">
            <w:r w:rsidRPr="000B320C">
              <w:t>-0.6</w:t>
            </w:r>
          </w:p>
        </w:tc>
        <w:tc>
          <w:tcPr>
            <w:tcW w:w="3399" w:type="dxa"/>
          </w:tcPr>
          <w:p w14:paraId="7ECCE538" w14:textId="77777777" w:rsidR="00F8071C" w:rsidRPr="000B320C" w:rsidRDefault="00F8071C" w:rsidP="00F8071C">
            <w:r w:rsidRPr="000B320C">
              <w:t>Marine; terrestrial</w:t>
            </w:r>
          </w:p>
        </w:tc>
      </w:tr>
      <w:tr w:rsidR="00F8071C" w:rsidRPr="000B320C" w14:paraId="0B746FC7" w14:textId="77777777" w:rsidTr="00AA5B38">
        <w:tc>
          <w:tcPr>
            <w:tcW w:w="993" w:type="dxa"/>
          </w:tcPr>
          <w:p w14:paraId="4E708504" w14:textId="77777777" w:rsidR="00F8071C" w:rsidRPr="000B320C" w:rsidRDefault="00BF1C5F" w:rsidP="00F8071C">
            <w:r>
              <w:t>[</w:t>
            </w:r>
            <w:proofErr w:type="gramStart"/>
            <w:r>
              <w:t>2]</w:t>
            </w:r>
            <w:r w:rsidR="00F8071C" w:rsidRPr="000B320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14:paraId="4DABCA36" w14:textId="77777777" w:rsidR="00F8071C" w:rsidRPr="000B320C" w:rsidRDefault="00F8071C" w:rsidP="00F8071C">
            <w:proofErr w:type="spellStart"/>
            <w:r w:rsidRPr="000B320C">
              <w:t>Vlasac</w:t>
            </w:r>
            <w:proofErr w:type="spellEnd"/>
            <w:r w:rsidRPr="000B320C">
              <w:t>, Serbia</w:t>
            </w:r>
          </w:p>
        </w:tc>
        <w:tc>
          <w:tcPr>
            <w:tcW w:w="1605" w:type="dxa"/>
          </w:tcPr>
          <w:p w14:paraId="527958B3" w14:textId="77777777" w:rsidR="00F8071C" w:rsidRPr="000B320C" w:rsidRDefault="00F8071C" w:rsidP="00F8071C">
            <w:r w:rsidRPr="000B320C">
              <w:t>36/10</w:t>
            </w:r>
          </w:p>
        </w:tc>
        <w:tc>
          <w:tcPr>
            <w:tcW w:w="1833" w:type="dxa"/>
          </w:tcPr>
          <w:p w14:paraId="144CB820" w14:textId="77777777" w:rsidR="00F8071C" w:rsidRPr="000B320C" w:rsidRDefault="00F8071C" w:rsidP="00F8071C">
            <w:r w:rsidRPr="000B320C">
              <w:t>c. 11,000–8,500</w:t>
            </w:r>
          </w:p>
        </w:tc>
        <w:tc>
          <w:tcPr>
            <w:tcW w:w="1605" w:type="dxa"/>
          </w:tcPr>
          <w:p w14:paraId="5E406915" w14:textId="77777777" w:rsidR="00F8071C" w:rsidRPr="000B320C" w:rsidRDefault="00F8071C" w:rsidP="00F8071C">
            <w:r w:rsidRPr="000B320C">
              <w:t>0.3</w:t>
            </w:r>
          </w:p>
        </w:tc>
        <w:tc>
          <w:tcPr>
            <w:tcW w:w="1608" w:type="dxa"/>
          </w:tcPr>
          <w:p w14:paraId="680C3314" w14:textId="77777777" w:rsidR="00F8071C" w:rsidRPr="000B320C" w:rsidRDefault="00F8071C" w:rsidP="00F8071C">
            <w:r w:rsidRPr="000B320C">
              <w:t>3.5</w:t>
            </w:r>
          </w:p>
        </w:tc>
        <w:tc>
          <w:tcPr>
            <w:tcW w:w="3399" w:type="dxa"/>
          </w:tcPr>
          <w:p w14:paraId="3710680C" w14:textId="77777777" w:rsidR="00F8071C" w:rsidRPr="000B320C" w:rsidRDefault="00F8071C" w:rsidP="00F8071C">
            <w:r w:rsidRPr="000B320C">
              <w:t>Freshwater; terrestrial</w:t>
            </w:r>
          </w:p>
        </w:tc>
      </w:tr>
      <w:tr w:rsidR="00F8071C" w:rsidRPr="000B320C" w14:paraId="0C400F81" w14:textId="77777777" w:rsidTr="00AA5B38">
        <w:tc>
          <w:tcPr>
            <w:tcW w:w="993" w:type="dxa"/>
          </w:tcPr>
          <w:p w14:paraId="0CF0C97D" w14:textId="77777777" w:rsidR="00F8071C" w:rsidRPr="000B320C" w:rsidRDefault="00BF1C5F" w:rsidP="00F8071C">
            <w:r>
              <w:t>[</w:t>
            </w:r>
            <w:r w:rsidR="004C3A15">
              <w:t>3</w:t>
            </w:r>
            <w:r>
              <w:t>]</w:t>
            </w:r>
          </w:p>
        </w:tc>
        <w:tc>
          <w:tcPr>
            <w:tcW w:w="2551" w:type="dxa"/>
          </w:tcPr>
          <w:p w14:paraId="0C6E69A0" w14:textId="77777777" w:rsidR="00F8071C" w:rsidRPr="000B320C" w:rsidRDefault="00F8071C" w:rsidP="00F8071C">
            <w:proofErr w:type="spellStart"/>
            <w:r w:rsidRPr="000B320C">
              <w:t>Namu</w:t>
            </w:r>
            <w:proofErr w:type="spellEnd"/>
            <w:r w:rsidRPr="000B320C">
              <w:t>, Canada</w:t>
            </w:r>
          </w:p>
        </w:tc>
        <w:tc>
          <w:tcPr>
            <w:tcW w:w="1605" w:type="dxa"/>
          </w:tcPr>
          <w:p w14:paraId="02D6CEDC" w14:textId="77777777" w:rsidR="00F8071C" w:rsidRPr="000B320C" w:rsidRDefault="00F8071C" w:rsidP="00F8071C">
            <w:r w:rsidRPr="000B320C">
              <w:t>13/13</w:t>
            </w:r>
          </w:p>
        </w:tc>
        <w:tc>
          <w:tcPr>
            <w:tcW w:w="1833" w:type="dxa"/>
          </w:tcPr>
          <w:p w14:paraId="05CA7616" w14:textId="77777777" w:rsidR="00F8071C" w:rsidRPr="000B320C" w:rsidRDefault="00F8071C" w:rsidP="00F8071C">
            <w:r w:rsidRPr="000B320C">
              <w:t xml:space="preserve">c. 6,000–2,000 </w:t>
            </w:r>
          </w:p>
        </w:tc>
        <w:tc>
          <w:tcPr>
            <w:tcW w:w="1605" w:type="dxa"/>
          </w:tcPr>
          <w:p w14:paraId="4320EB42" w14:textId="77777777" w:rsidR="00F8071C" w:rsidRPr="000B320C" w:rsidRDefault="00F8071C" w:rsidP="00F8071C">
            <w:r w:rsidRPr="000B320C">
              <w:t>-0.1</w:t>
            </w:r>
          </w:p>
        </w:tc>
        <w:tc>
          <w:tcPr>
            <w:tcW w:w="1608" w:type="dxa"/>
          </w:tcPr>
          <w:p w14:paraId="60EE1576" w14:textId="77777777" w:rsidR="00F8071C" w:rsidRPr="000B320C" w:rsidRDefault="00F8071C" w:rsidP="00F8071C">
            <w:r w:rsidRPr="000B320C">
              <w:t>2.6</w:t>
            </w:r>
          </w:p>
        </w:tc>
        <w:tc>
          <w:tcPr>
            <w:tcW w:w="3399" w:type="dxa"/>
          </w:tcPr>
          <w:p w14:paraId="28BA4043" w14:textId="77777777" w:rsidR="00F8071C" w:rsidRPr="000B320C" w:rsidRDefault="00F8071C" w:rsidP="00F8071C">
            <w:r w:rsidRPr="000B320C">
              <w:t>Marine/</w:t>
            </w:r>
            <w:proofErr w:type="spellStart"/>
            <w:r w:rsidRPr="000B320C">
              <w:t>anadromous</w:t>
            </w:r>
            <w:proofErr w:type="spellEnd"/>
            <w:r w:rsidRPr="000B320C">
              <w:t>; terrestrial</w:t>
            </w:r>
          </w:p>
        </w:tc>
      </w:tr>
      <w:tr w:rsidR="00F8071C" w:rsidRPr="000B320C" w14:paraId="22BE9528" w14:textId="77777777" w:rsidTr="00AA5B38">
        <w:tc>
          <w:tcPr>
            <w:tcW w:w="993" w:type="dxa"/>
          </w:tcPr>
          <w:p w14:paraId="109F6E14" w14:textId="77777777" w:rsidR="00F8071C" w:rsidRPr="000B320C" w:rsidRDefault="00BF1C5F" w:rsidP="00F8071C">
            <w:r>
              <w:t>[</w:t>
            </w:r>
            <w:proofErr w:type="gramStart"/>
            <w:r>
              <w:t>4]</w:t>
            </w:r>
            <w:r w:rsidR="00F8071C" w:rsidRPr="000B320C">
              <w:rPr>
                <w:vertAlign w:val="superscript"/>
              </w:rPr>
              <w:t>3</w:t>
            </w:r>
            <w:proofErr w:type="gramEnd"/>
          </w:p>
        </w:tc>
        <w:tc>
          <w:tcPr>
            <w:tcW w:w="2551" w:type="dxa"/>
          </w:tcPr>
          <w:p w14:paraId="4F4EC12B" w14:textId="77777777" w:rsidR="00F8071C" w:rsidRPr="000B320C" w:rsidRDefault="00F8071C" w:rsidP="00F8071C">
            <w:proofErr w:type="spellStart"/>
            <w:r w:rsidRPr="000B320C">
              <w:t>Kopingsvik</w:t>
            </w:r>
            <w:proofErr w:type="spellEnd"/>
            <w:r w:rsidRPr="000B320C">
              <w:t>, Sweden</w:t>
            </w:r>
          </w:p>
        </w:tc>
        <w:tc>
          <w:tcPr>
            <w:tcW w:w="1605" w:type="dxa"/>
          </w:tcPr>
          <w:p w14:paraId="1B55688A" w14:textId="77777777" w:rsidR="00F8071C" w:rsidRPr="000B320C" w:rsidRDefault="00F8071C" w:rsidP="00F8071C">
            <w:r w:rsidRPr="000B320C">
              <w:t>18/11</w:t>
            </w:r>
          </w:p>
        </w:tc>
        <w:tc>
          <w:tcPr>
            <w:tcW w:w="1833" w:type="dxa"/>
          </w:tcPr>
          <w:p w14:paraId="36982869" w14:textId="77777777" w:rsidR="00F8071C" w:rsidRPr="000B320C" w:rsidRDefault="00F8071C" w:rsidP="00F8071C">
            <w:r w:rsidRPr="000B320C">
              <w:t xml:space="preserve">c. 5,600–3,800 </w:t>
            </w:r>
          </w:p>
        </w:tc>
        <w:tc>
          <w:tcPr>
            <w:tcW w:w="1605" w:type="dxa"/>
          </w:tcPr>
          <w:p w14:paraId="0653196B" w14:textId="77777777" w:rsidR="00F8071C" w:rsidRPr="000B320C" w:rsidRDefault="00F8071C" w:rsidP="00F8071C">
            <w:r w:rsidRPr="000B320C">
              <w:t>0.4</w:t>
            </w:r>
          </w:p>
        </w:tc>
        <w:tc>
          <w:tcPr>
            <w:tcW w:w="1608" w:type="dxa"/>
          </w:tcPr>
          <w:p w14:paraId="3D02C61C" w14:textId="77777777" w:rsidR="00F8071C" w:rsidRPr="000B320C" w:rsidRDefault="00F8071C" w:rsidP="00F8071C">
            <w:r w:rsidRPr="000B320C">
              <w:t>1.9</w:t>
            </w:r>
          </w:p>
        </w:tc>
        <w:tc>
          <w:tcPr>
            <w:tcW w:w="3399" w:type="dxa"/>
          </w:tcPr>
          <w:p w14:paraId="2E76E867" w14:textId="77777777" w:rsidR="00F8071C" w:rsidRPr="000B320C" w:rsidRDefault="00F8071C" w:rsidP="00F8071C">
            <w:r w:rsidRPr="000B320C">
              <w:t xml:space="preserve">Marine mammals and fish </w:t>
            </w:r>
          </w:p>
        </w:tc>
      </w:tr>
      <w:tr w:rsidR="00F8071C" w:rsidRPr="000B320C" w14:paraId="5FD15059" w14:textId="77777777" w:rsidTr="00AA5B38">
        <w:tc>
          <w:tcPr>
            <w:tcW w:w="993" w:type="dxa"/>
          </w:tcPr>
          <w:p w14:paraId="046CDBED" w14:textId="77777777" w:rsidR="00F8071C" w:rsidRPr="000B320C" w:rsidRDefault="00BF1C5F" w:rsidP="00F8071C">
            <w:r>
              <w:t>[</w:t>
            </w:r>
            <w:proofErr w:type="gramStart"/>
            <w:r>
              <w:t>5]</w:t>
            </w:r>
            <w:r w:rsidR="00F8071C" w:rsidRPr="000B320C">
              <w:rPr>
                <w:vertAlign w:val="superscript"/>
              </w:rPr>
              <w:t>4</w:t>
            </w:r>
            <w:proofErr w:type="gramEnd"/>
          </w:p>
        </w:tc>
        <w:tc>
          <w:tcPr>
            <w:tcW w:w="2551" w:type="dxa"/>
          </w:tcPr>
          <w:p w14:paraId="5F3DD602" w14:textId="77777777" w:rsidR="00F8071C" w:rsidRPr="000B320C" w:rsidRDefault="00F8071C" w:rsidP="00F8071C">
            <w:proofErr w:type="spellStart"/>
            <w:r w:rsidRPr="000B320C">
              <w:t>Korsnäs</w:t>
            </w:r>
            <w:proofErr w:type="spellEnd"/>
            <w:r w:rsidRPr="000B320C">
              <w:t>, Sweden</w:t>
            </w:r>
          </w:p>
        </w:tc>
        <w:tc>
          <w:tcPr>
            <w:tcW w:w="1605" w:type="dxa"/>
          </w:tcPr>
          <w:p w14:paraId="6247EC6E" w14:textId="77777777" w:rsidR="00F8071C" w:rsidRPr="000B320C" w:rsidRDefault="00F8071C" w:rsidP="00F8071C">
            <w:r w:rsidRPr="000B320C">
              <w:t>8/4</w:t>
            </w:r>
          </w:p>
        </w:tc>
        <w:tc>
          <w:tcPr>
            <w:tcW w:w="1833" w:type="dxa"/>
          </w:tcPr>
          <w:p w14:paraId="7C4632C4" w14:textId="77777777" w:rsidR="00F8071C" w:rsidRPr="000B320C" w:rsidRDefault="00F8071C" w:rsidP="00F8071C">
            <w:r w:rsidRPr="000B320C">
              <w:t xml:space="preserve">c. 5,400–4,600 </w:t>
            </w:r>
          </w:p>
        </w:tc>
        <w:tc>
          <w:tcPr>
            <w:tcW w:w="1605" w:type="dxa"/>
          </w:tcPr>
          <w:p w14:paraId="2C167E3E" w14:textId="77777777" w:rsidR="00F8071C" w:rsidRPr="000B320C" w:rsidRDefault="00F8071C" w:rsidP="00F8071C">
            <w:r w:rsidRPr="000B320C">
              <w:t>-0.5</w:t>
            </w:r>
          </w:p>
        </w:tc>
        <w:tc>
          <w:tcPr>
            <w:tcW w:w="1608" w:type="dxa"/>
          </w:tcPr>
          <w:p w14:paraId="75F5DFDF" w14:textId="77777777" w:rsidR="00F8071C" w:rsidRPr="000B320C" w:rsidRDefault="00F8071C" w:rsidP="00F8071C">
            <w:r w:rsidRPr="000B320C">
              <w:t>1.8</w:t>
            </w:r>
          </w:p>
        </w:tc>
        <w:tc>
          <w:tcPr>
            <w:tcW w:w="3399" w:type="dxa"/>
          </w:tcPr>
          <w:p w14:paraId="749A558F" w14:textId="77777777" w:rsidR="00F8071C" w:rsidRPr="000B320C" w:rsidRDefault="00F8071C" w:rsidP="00F8071C">
            <w:r w:rsidRPr="000B320C">
              <w:t>Marine mammals</w:t>
            </w:r>
          </w:p>
        </w:tc>
      </w:tr>
      <w:tr w:rsidR="00F8071C" w:rsidRPr="000B320C" w14:paraId="7148A3DB" w14:textId="77777777" w:rsidTr="00AA5B38">
        <w:tc>
          <w:tcPr>
            <w:tcW w:w="993" w:type="dxa"/>
          </w:tcPr>
          <w:p w14:paraId="7C045AD8" w14:textId="77777777" w:rsidR="00F8071C" w:rsidRPr="000B320C" w:rsidRDefault="00BF1C5F" w:rsidP="00F8071C">
            <w:r>
              <w:t>[</w:t>
            </w:r>
            <w:proofErr w:type="gramStart"/>
            <w:r>
              <w:t>6]</w:t>
            </w:r>
            <w:r w:rsidR="00F8071C" w:rsidRPr="000B320C">
              <w:rPr>
                <w:vertAlign w:val="superscript"/>
              </w:rPr>
              <w:t>5</w:t>
            </w:r>
            <w:proofErr w:type="gramEnd"/>
          </w:p>
        </w:tc>
        <w:tc>
          <w:tcPr>
            <w:tcW w:w="2551" w:type="dxa"/>
          </w:tcPr>
          <w:p w14:paraId="4E1DFB9E" w14:textId="77777777" w:rsidR="00F8071C" w:rsidRPr="000B320C" w:rsidRDefault="00F8071C" w:rsidP="00F8071C">
            <w:proofErr w:type="spellStart"/>
            <w:r w:rsidRPr="000B320C">
              <w:t>Montou</w:t>
            </w:r>
            <w:proofErr w:type="spellEnd"/>
            <w:r w:rsidRPr="000B320C">
              <w:t>, France</w:t>
            </w:r>
          </w:p>
        </w:tc>
        <w:tc>
          <w:tcPr>
            <w:tcW w:w="1605" w:type="dxa"/>
          </w:tcPr>
          <w:p w14:paraId="6F4AACA5" w14:textId="77777777" w:rsidR="00F8071C" w:rsidRPr="000B320C" w:rsidRDefault="00F8071C" w:rsidP="00F8071C">
            <w:r w:rsidRPr="000B320C">
              <w:t>5/4</w:t>
            </w:r>
          </w:p>
        </w:tc>
        <w:tc>
          <w:tcPr>
            <w:tcW w:w="1833" w:type="dxa"/>
          </w:tcPr>
          <w:p w14:paraId="1ECE2463" w14:textId="77777777" w:rsidR="00F8071C" w:rsidRPr="000B320C" w:rsidRDefault="00F8071C" w:rsidP="00F8071C">
            <w:r w:rsidRPr="000B320C">
              <w:t>c. 6,000–5,500</w:t>
            </w:r>
          </w:p>
        </w:tc>
        <w:tc>
          <w:tcPr>
            <w:tcW w:w="1605" w:type="dxa"/>
          </w:tcPr>
          <w:p w14:paraId="6556B9E9" w14:textId="77777777" w:rsidR="00F8071C" w:rsidRPr="000B320C" w:rsidRDefault="00F8071C" w:rsidP="00F8071C">
            <w:r w:rsidRPr="000B320C">
              <w:t>0.0</w:t>
            </w:r>
          </w:p>
        </w:tc>
        <w:tc>
          <w:tcPr>
            <w:tcW w:w="1608" w:type="dxa"/>
          </w:tcPr>
          <w:p w14:paraId="4B271894" w14:textId="77777777" w:rsidR="00F8071C" w:rsidRPr="000B320C" w:rsidRDefault="00F8071C" w:rsidP="00F8071C">
            <w:r w:rsidRPr="000B320C">
              <w:t>-0.2</w:t>
            </w:r>
          </w:p>
        </w:tc>
        <w:tc>
          <w:tcPr>
            <w:tcW w:w="3399" w:type="dxa"/>
          </w:tcPr>
          <w:p w14:paraId="35E6C60D" w14:textId="77777777" w:rsidR="00F8071C" w:rsidRPr="000B320C" w:rsidRDefault="00F8071C" w:rsidP="00F8071C">
            <w:r w:rsidRPr="000B320C">
              <w:t>Terrestrial (domestic and wild)</w:t>
            </w:r>
          </w:p>
        </w:tc>
      </w:tr>
      <w:tr w:rsidR="00F8071C" w:rsidRPr="000B320C" w14:paraId="0BF05B58" w14:textId="77777777" w:rsidTr="00AA5B38">
        <w:tc>
          <w:tcPr>
            <w:tcW w:w="993" w:type="dxa"/>
          </w:tcPr>
          <w:p w14:paraId="0AC2FF2C" w14:textId="77777777" w:rsidR="00F8071C" w:rsidRPr="000B320C" w:rsidRDefault="00BF1C5F" w:rsidP="00F8071C">
            <w:r>
              <w:t>[</w:t>
            </w:r>
            <w:r w:rsidR="004C3A15">
              <w:t>7</w:t>
            </w:r>
            <w:r>
              <w:t>]</w:t>
            </w:r>
          </w:p>
        </w:tc>
        <w:tc>
          <w:tcPr>
            <w:tcW w:w="2551" w:type="dxa"/>
          </w:tcPr>
          <w:p w14:paraId="75C40323" w14:textId="77777777" w:rsidR="00F8071C" w:rsidRPr="000B320C" w:rsidRDefault="00F8071C" w:rsidP="00F8071C">
            <w:r w:rsidRPr="000B320C">
              <w:t>Santa Rosa Island, USA</w:t>
            </w:r>
          </w:p>
        </w:tc>
        <w:tc>
          <w:tcPr>
            <w:tcW w:w="1605" w:type="dxa"/>
          </w:tcPr>
          <w:p w14:paraId="7BB952D7" w14:textId="77777777" w:rsidR="00F8071C" w:rsidRPr="000B320C" w:rsidRDefault="00F8071C" w:rsidP="00F8071C">
            <w:r w:rsidRPr="000B320C">
              <w:t>15/5</w:t>
            </w:r>
          </w:p>
        </w:tc>
        <w:tc>
          <w:tcPr>
            <w:tcW w:w="1833" w:type="dxa"/>
          </w:tcPr>
          <w:p w14:paraId="0FAC0F80" w14:textId="77777777" w:rsidR="00F8071C" w:rsidRPr="000B320C" w:rsidRDefault="00F8071C" w:rsidP="00F8071C">
            <w:r w:rsidRPr="000B320C">
              <w:t xml:space="preserve">c. 1,300–200 </w:t>
            </w:r>
          </w:p>
        </w:tc>
        <w:tc>
          <w:tcPr>
            <w:tcW w:w="1605" w:type="dxa"/>
          </w:tcPr>
          <w:p w14:paraId="56DB4BAF" w14:textId="77777777" w:rsidR="00F8071C" w:rsidRPr="000B320C" w:rsidRDefault="00F8071C" w:rsidP="00F8071C">
            <w:r w:rsidRPr="000B320C">
              <w:t>-2.0</w:t>
            </w:r>
          </w:p>
        </w:tc>
        <w:tc>
          <w:tcPr>
            <w:tcW w:w="1608" w:type="dxa"/>
          </w:tcPr>
          <w:p w14:paraId="35F35C88" w14:textId="77777777" w:rsidR="00F8071C" w:rsidRPr="000B320C" w:rsidRDefault="00F8071C" w:rsidP="00F8071C">
            <w:r w:rsidRPr="000B320C">
              <w:t>-0.5</w:t>
            </w:r>
          </w:p>
        </w:tc>
        <w:tc>
          <w:tcPr>
            <w:tcW w:w="3399" w:type="dxa"/>
          </w:tcPr>
          <w:p w14:paraId="54318CB8" w14:textId="77777777" w:rsidR="00F8071C" w:rsidRPr="000B320C" w:rsidRDefault="00F8071C" w:rsidP="00F8071C">
            <w:r w:rsidRPr="000B320C">
              <w:t>Marine; terrestrial</w:t>
            </w:r>
          </w:p>
        </w:tc>
      </w:tr>
      <w:tr w:rsidR="00F8071C" w:rsidRPr="000B320C" w14:paraId="4A32D465" w14:textId="77777777" w:rsidTr="00AA5B38">
        <w:tc>
          <w:tcPr>
            <w:tcW w:w="993" w:type="dxa"/>
          </w:tcPr>
          <w:p w14:paraId="1EECF30C" w14:textId="77777777" w:rsidR="00F8071C" w:rsidRPr="000B320C" w:rsidRDefault="00BF1C5F" w:rsidP="00F8071C">
            <w:r>
              <w:t>[</w:t>
            </w:r>
            <w:r w:rsidR="004C3A15">
              <w:t>8</w:t>
            </w:r>
            <w:r>
              <w:t>]</w:t>
            </w:r>
          </w:p>
        </w:tc>
        <w:tc>
          <w:tcPr>
            <w:tcW w:w="2551" w:type="dxa"/>
          </w:tcPr>
          <w:p w14:paraId="0334D00E" w14:textId="77777777" w:rsidR="00F8071C" w:rsidRPr="000B320C" w:rsidRDefault="00F8071C" w:rsidP="00F8071C">
            <w:proofErr w:type="spellStart"/>
            <w:r w:rsidRPr="000B320C">
              <w:t>Cuello</w:t>
            </w:r>
            <w:proofErr w:type="spellEnd"/>
            <w:r w:rsidRPr="000B320C">
              <w:t>, Belize</w:t>
            </w:r>
          </w:p>
        </w:tc>
        <w:tc>
          <w:tcPr>
            <w:tcW w:w="1605" w:type="dxa"/>
          </w:tcPr>
          <w:p w14:paraId="1C1E6182" w14:textId="77777777" w:rsidR="00F8071C" w:rsidRPr="000B320C" w:rsidRDefault="00F8071C" w:rsidP="00F8071C">
            <w:r w:rsidRPr="000B320C">
              <w:t>28(</w:t>
            </w:r>
            <w:proofErr w:type="gramStart"/>
            <w:r w:rsidRPr="000B320C">
              <w:t>23)</w:t>
            </w:r>
            <w:r w:rsidRPr="000B320C">
              <w:rPr>
                <w:vertAlign w:val="superscript"/>
              </w:rPr>
              <w:t>6</w:t>
            </w:r>
            <w:proofErr w:type="gramEnd"/>
            <w:r w:rsidRPr="000B320C">
              <w:t>/12</w:t>
            </w:r>
          </w:p>
        </w:tc>
        <w:tc>
          <w:tcPr>
            <w:tcW w:w="1833" w:type="dxa"/>
          </w:tcPr>
          <w:p w14:paraId="548F8973" w14:textId="77777777" w:rsidR="00F8071C" w:rsidRPr="000B320C" w:rsidRDefault="00F8071C" w:rsidP="00F8071C">
            <w:r w:rsidRPr="000B320C">
              <w:t>c. 3,200–1,600</w:t>
            </w:r>
          </w:p>
        </w:tc>
        <w:tc>
          <w:tcPr>
            <w:tcW w:w="1605" w:type="dxa"/>
          </w:tcPr>
          <w:p w14:paraId="2198EDBA" w14:textId="77777777" w:rsidR="00F8071C" w:rsidRPr="000B320C" w:rsidRDefault="00F8071C" w:rsidP="00F8071C">
            <w:r w:rsidRPr="000B320C">
              <w:t>2.7</w:t>
            </w:r>
          </w:p>
        </w:tc>
        <w:tc>
          <w:tcPr>
            <w:tcW w:w="1608" w:type="dxa"/>
          </w:tcPr>
          <w:p w14:paraId="02E4B019" w14:textId="77777777" w:rsidR="00F8071C" w:rsidRPr="000B320C" w:rsidRDefault="00F8071C" w:rsidP="00F8071C">
            <w:r w:rsidRPr="000B320C">
              <w:t>1.4</w:t>
            </w:r>
          </w:p>
        </w:tc>
        <w:tc>
          <w:tcPr>
            <w:tcW w:w="3399" w:type="dxa"/>
          </w:tcPr>
          <w:p w14:paraId="1A44530D" w14:textId="77777777" w:rsidR="00F8071C" w:rsidRPr="000B320C" w:rsidRDefault="00F8071C" w:rsidP="00F8071C">
            <w:r w:rsidRPr="000B320C">
              <w:t>Maize; terrestrial; freshwater</w:t>
            </w:r>
          </w:p>
        </w:tc>
      </w:tr>
    </w:tbl>
    <w:p w14:paraId="1B0AF9CA" w14:textId="77777777" w:rsidR="00F8071C" w:rsidRPr="000B320C" w:rsidRDefault="00F8071C" w:rsidP="00F8071C">
      <w:r w:rsidRPr="000B320C">
        <w:t>1. Period I samples only.</w:t>
      </w:r>
    </w:p>
    <w:p w14:paraId="0F1D7EB9" w14:textId="77777777" w:rsidR="00F8071C" w:rsidRPr="000B320C" w:rsidRDefault="00F8071C" w:rsidP="00F8071C">
      <w:r w:rsidRPr="000B320C">
        <w:t>2. Humans exclude neonates and infants.</w:t>
      </w:r>
    </w:p>
    <w:p w14:paraId="7993257E" w14:textId="77777777" w:rsidR="00F8071C" w:rsidRPr="000B320C" w:rsidRDefault="00F8071C" w:rsidP="00F8071C">
      <w:r w:rsidRPr="000B320C">
        <w:t xml:space="preserve">3. Humans exclude juveniles, and are for Mesolithic and Neolithic only. </w:t>
      </w:r>
    </w:p>
    <w:p w14:paraId="1D124C03" w14:textId="77777777" w:rsidR="00F8071C" w:rsidRPr="000B320C" w:rsidRDefault="00F8071C" w:rsidP="00F8071C">
      <w:r w:rsidRPr="000B320C">
        <w:t>4. Humans exclude juveniles.</w:t>
      </w:r>
    </w:p>
    <w:p w14:paraId="61FABEAB" w14:textId="77777777" w:rsidR="00F8071C" w:rsidRPr="000B320C" w:rsidRDefault="00F8071C" w:rsidP="00F8071C">
      <w:r w:rsidRPr="000B320C">
        <w:t>5. Humans exclude ‘child 3’ juvenile.</w:t>
      </w:r>
    </w:p>
    <w:p w14:paraId="6B718D12" w14:textId="77777777" w:rsidR="00F8071C" w:rsidRPr="000B320C" w:rsidRDefault="00F8071C" w:rsidP="00F8071C">
      <w:r w:rsidRPr="000B320C">
        <w:t>6. Human n 28 for δ</w:t>
      </w:r>
      <w:r w:rsidRPr="000B320C">
        <w:rPr>
          <w:vertAlign w:val="superscript"/>
        </w:rPr>
        <w:t>13</w:t>
      </w:r>
      <w:r w:rsidRPr="000B320C">
        <w:t>C, 23 for δ</w:t>
      </w:r>
      <w:r w:rsidRPr="000B320C">
        <w:rPr>
          <w:vertAlign w:val="superscript"/>
        </w:rPr>
        <w:t>15</w:t>
      </w:r>
      <w:r w:rsidRPr="000B320C">
        <w:t>N.</w:t>
      </w:r>
    </w:p>
    <w:p w14:paraId="7E3DDB67" w14:textId="77777777" w:rsidR="00F8071C" w:rsidRPr="000B320C" w:rsidRDefault="00F8071C" w:rsidP="00F8071C"/>
    <w:p w14:paraId="261705F7" w14:textId="77777777" w:rsidR="00F8071C" w:rsidRPr="000B320C" w:rsidRDefault="00F8071C" w:rsidP="00F8071C">
      <w:r w:rsidRPr="000B320C">
        <w:br w:type="page"/>
      </w:r>
      <w:r w:rsidRPr="000B320C">
        <w:lastRenderedPageBreak/>
        <w:t xml:space="preserve">Table S1b. Studies excluded in table S1a but which </w:t>
      </w:r>
      <w:r w:rsidR="005A55F7">
        <w:t xml:space="preserve">were reviewed because they </w:t>
      </w:r>
      <w:r w:rsidRPr="000B320C">
        <w:t xml:space="preserve">have </w:t>
      </w:r>
      <w:r w:rsidR="005A55F7">
        <w:t xml:space="preserve">multiple </w:t>
      </w:r>
      <w:r w:rsidRPr="000B320C">
        <w:t xml:space="preserve">isotope values for both dogs and humans. </w:t>
      </w:r>
    </w:p>
    <w:p w14:paraId="5C4C9ED5" w14:textId="77777777" w:rsidR="00F8071C" w:rsidRPr="000B320C" w:rsidRDefault="00F8071C" w:rsidP="00F8071C"/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261"/>
        <w:gridCol w:w="9922"/>
      </w:tblGrid>
      <w:tr w:rsidR="00F8071C" w:rsidRPr="000B320C" w14:paraId="307AFD69" w14:textId="77777777">
        <w:tc>
          <w:tcPr>
            <w:tcW w:w="1242" w:type="dxa"/>
          </w:tcPr>
          <w:p w14:paraId="027643E0" w14:textId="77777777" w:rsidR="00F8071C" w:rsidRPr="000B320C" w:rsidRDefault="00F8071C">
            <w:pPr>
              <w:rPr>
                <w:b/>
              </w:rPr>
            </w:pPr>
            <w:r w:rsidRPr="000B320C">
              <w:rPr>
                <w:b/>
              </w:rPr>
              <w:t>Source</w:t>
            </w:r>
          </w:p>
        </w:tc>
        <w:tc>
          <w:tcPr>
            <w:tcW w:w="3261" w:type="dxa"/>
          </w:tcPr>
          <w:p w14:paraId="0E168A79" w14:textId="77777777" w:rsidR="00F8071C" w:rsidRPr="000B320C" w:rsidRDefault="00F8071C">
            <w:pPr>
              <w:rPr>
                <w:b/>
              </w:rPr>
            </w:pPr>
            <w:r w:rsidRPr="000B320C">
              <w:rPr>
                <w:b/>
              </w:rPr>
              <w:t>Site/region</w:t>
            </w:r>
          </w:p>
        </w:tc>
        <w:tc>
          <w:tcPr>
            <w:tcW w:w="9922" w:type="dxa"/>
          </w:tcPr>
          <w:p w14:paraId="11CAE9E0" w14:textId="77777777" w:rsidR="00F8071C" w:rsidRPr="000B320C" w:rsidRDefault="00E60A30" w:rsidP="00BC5AE0">
            <w:pPr>
              <w:rPr>
                <w:b/>
              </w:rPr>
            </w:pPr>
            <w:r>
              <w:rPr>
                <w:b/>
              </w:rPr>
              <w:t>Reasons for exclusion</w:t>
            </w:r>
            <w:r w:rsidR="00BC5AE0">
              <w:rPr>
                <w:b/>
              </w:rPr>
              <w:t xml:space="preserve"> and n</w:t>
            </w:r>
            <w:r w:rsidR="004754C4">
              <w:rPr>
                <w:b/>
              </w:rPr>
              <w:t>otes on patterning</w:t>
            </w:r>
          </w:p>
        </w:tc>
      </w:tr>
      <w:tr w:rsidR="00F8071C" w:rsidRPr="000B320C" w14:paraId="030542BA" w14:textId="77777777">
        <w:tc>
          <w:tcPr>
            <w:tcW w:w="1242" w:type="dxa"/>
          </w:tcPr>
          <w:p w14:paraId="7958601C" w14:textId="77777777" w:rsidR="00F8071C" w:rsidRPr="000B320C" w:rsidRDefault="00BF1C5F" w:rsidP="00F8071C">
            <w:r>
              <w:t>[</w:t>
            </w:r>
            <w:r w:rsidR="004C3A15">
              <w:t>9</w:t>
            </w:r>
            <w:r>
              <w:t>]</w:t>
            </w:r>
          </w:p>
        </w:tc>
        <w:tc>
          <w:tcPr>
            <w:tcW w:w="3261" w:type="dxa"/>
          </w:tcPr>
          <w:p w14:paraId="4E6C1080" w14:textId="77777777" w:rsidR="00F8071C" w:rsidRPr="000B320C" w:rsidRDefault="00C0790B" w:rsidP="00F8071C">
            <w:proofErr w:type="spellStart"/>
            <w:r>
              <w:t>Northe</w:t>
            </w:r>
            <w:r w:rsidRPr="000B320C">
              <w:t>astern</w:t>
            </w:r>
            <w:proofErr w:type="spellEnd"/>
            <w:r w:rsidRPr="000B320C">
              <w:t xml:space="preserve"> United States</w:t>
            </w:r>
          </w:p>
        </w:tc>
        <w:tc>
          <w:tcPr>
            <w:tcW w:w="9922" w:type="dxa"/>
          </w:tcPr>
          <w:p w14:paraId="22C1E1EF" w14:textId="77777777" w:rsidR="004754C4" w:rsidRPr="000B320C" w:rsidRDefault="00C0790B" w:rsidP="004754C4">
            <w:r>
              <w:t xml:space="preserve">The </w:t>
            </w:r>
            <w:r w:rsidR="004754C4">
              <w:t xml:space="preserve">same-site </w:t>
            </w:r>
            <w:r>
              <w:t xml:space="preserve">data set </w:t>
            </w:r>
            <w:r w:rsidR="00AC2A48">
              <w:t>is limited to</w:t>
            </w:r>
            <w:r>
              <w:t xml:space="preserve"> one</w:t>
            </w:r>
            <w:r w:rsidR="00176E14">
              <w:t xml:space="preserve"> dog </w:t>
            </w:r>
            <w:r w:rsidR="004754C4">
              <w:t>and three humans</w:t>
            </w:r>
            <w:r>
              <w:t xml:space="preserve">, </w:t>
            </w:r>
            <w:r w:rsidR="004754C4">
              <w:t>with</w:t>
            </w:r>
            <w:r w:rsidR="00176E14">
              <w:t xml:space="preserve"> </w:t>
            </w:r>
            <w:r w:rsidR="00F8071C" w:rsidRPr="00E60A30">
              <w:t xml:space="preserve">no </w:t>
            </w:r>
            <w:r w:rsidR="00E60A30" w:rsidRPr="00E60A30">
              <w:t>δ</w:t>
            </w:r>
            <w:r w:rsidR="00E60A30" w:rsidRPr="00E60A30">
              <w:rPr>
                <w:vertAlign w:val="superscript"/>
              </w:rPr>
              <w:t>15</w:t>
            </w:r>
            <w:r w:rsidR="00E60A30" w:rsidRPr="00E60A30">
              <w:t>N</w:t>
            </w:r>
            <w:r w:rsidR="00F8071C" w:rsidRPr="00E60A30">
              <w:t xml:space="preserve"> values</w:t>
            </w:r>
            <w:r w:rsidR="00F8071C" w:rsidRPr="000B320C">
              <w:t xml:space="preserve"> </w:t>
            </w:r>
            <w:r w:rsidR="00E60A30">
              <w:t>available</w:t>
            </w:r>
            <w:r w:rsidR="00176E14">
              <w:t xml:space="preserve"> for </w:t>
            </w:r>
            <w:r>
              <w:t>the human samples</w:t>
            </w:r>
            <w:r w:rsidR="00F8071C" w:rsidRPr="000B320C">
              <w:t>.</w:t>
            </w:r>
            <w:r w:rsidR="00AA5B38">
              <w:t xml:space="preserve"> </w:t>
            </w:r>
            <w:r w:rsidR="004754C4" w:rsidRPr="00AA5B38">
              <w:rPr>
                <w:u w:val="single"/>
              </w:rPr>
              <w:t>Patterning</w:t>
            </w:r>
            <w:r w:rsidR="004754C4" w:rsidRPr="00AA5B38">
              <w:t>:</w:t>
            </w:r>
            <w:r w:rsidR="00AC2A48">
              <w:t xml:space="preserve"> dog </w:t>
            </w:r>
            <w:r w:rsidR="00AC2A48" w:rsidRPr="00E60A30">
              <w:t>δ</w:t>
            </w:r>
            <w:r w:rsidR="00AC2A48" w:rsidRPr="00E60A30">
              <w:rPr>
                <w:vertAlign w:val="superscript"/>
              </w:rPr>
              <w:t>1</w:t>
            </w:r>
            <w:r w:rsidR="00AC2A48">
              <w:rPr>
                <w:vertAlign w:val="superscript"/>
              </w:rPr>
              <w:t>3</w:t>
            </w:r>
            <w:r w:rsidR="00AC2A48">
              <w:t xml:space="preserve">C is slightly lower than human </w:t>
            </w:r>
            <w:r w:rsidR="00AC2A48" w:rsidRPr="00E60A30">
              <w:t>δ</w:t>
            </w:r>
            <w:r w:rsidR="00AC2A48" w:rsidRPr="00E60A30">
              <w:rPr>
                <w:vertAlign w:val="superscript"/>
              </w:rPr>
              <w:t>1</w:t>
            </w:r>
            <w:r w:rsidR="00AC2A48">
              <w:rPr>
                <w:vertAlign w:val="superscript"/>
              </w:rPr>
              <w:t>3</w:t>
            </w:r>
            <w:r w:rsidR="00AC2A48">
              <w:t>C</w:t>
            </w:r>
          </w:p>
        </w:tc>
      </w:tr>
      <w:tr w:rsidR="00F8071C" w:rsidRPr="000B320C" w14:paraId="3E69EDD1" w14:textId="77777777">
        <w:tc>
          <w:tcPr>
            <w:tcW w:w="1242" w:type="dxa"/>
          </w:tcPr>
          <w:p w14:paraId="7BDD962F" w14:textId="77777777" w:rsidR="00F8071C" w:rsidRPr="000B320C" w:rsidRDefault="00BF1C5F" w:rsidP="00F8071C">
            <w:r>
              <w:t>[</w:t>
            </w:r>
            <w:r w:rsidR="004C3A15">
              <w:t>10</w:t>
            </w:r>
            <w:r>
              <w:t>]</w:t>
            </w:r>
          </w:p>
        </w:tc>
        <w:tc>
          <w:tcPr>
            <w:tcW w:w="3261" w:type="dxa"/>
          </w:tcPr>
          <w:p w14:paraId="7ED78741" w14:textId="77777777" w:rsidR="00F8071C" w:rsidRPr="000B320C" w:rsidRDefault="00F8071C" w:rsidP="00F8071C">
            <w:r w:rsidRPr="000B320C">
              <w:t>Denmark</w:t>
            </w:r>
          </w:p>
        </w:tc>
        <w:tc>
          <w:tcPr>
            <w:tcW w:w="9922" w:type="dxa"/>
          </w:tcPr>
          <w:p w14:paraId="2D6CB509" w14:textId="77777777" w:rsidR="00F8071C" w:rsidRPr="000B320C" w:rsidRDefault="002E4569" w:rsidP="00AC2A48">
            <w:r>
              <w:t>T</w:t>
            </w:r>
            <w:r w:rsidR="00F8071C" w:rsidRPr="000B320C">
              <w:t>he</w:t>
            </w:r>
            <w:r w:rsidR="005A55F7">
              <w:t xml:space="preserve"> data</w:t>
            </w:r>
            <w:r w:rsidR="00F8071C" w:rsidRPr="000B320C">
              <w:t xml:space="preserve"> </w:t>
            </w:r>
            <w:r>
              <w:t xml:space="preserve">sample </w:t>
            </w:r>
            <w:r w:rsidRPr="000B320C">
              <w:t xml:space="preserve">many sites </w:t>
            </w:r>
            <w:r>
              <w:t xml:space="preserve">varying in </w:t>
            </w:r>
            <w:r w:rsidRPr="000B320C">
              <w:t>locale and date</w:t>
            </w:r>
            <w:r>
              <w:t xml:space="preserve"> and include no clearly </w:t>
            </w:r>
            <w:r w:rsidR="004754C4">
              <w:t>contemporaneous same-site</w:t>
            </w:r>
            <w:r w:rsidR="00F8071C" w:rsidRPr="000B320C">
              <w:t xml:space="preserve"> </w:t>
            </w:r>
            <w:r w:rsidR="005A55F7">
              <w:t>sets</w:t>
            </w:r>
            <w:r>
              <w:t xml:space="preserve"> of multiple dogs and humans</w:t>
            </w:r>
            <w:r w:rsidR="00F8071C" w:rsidRPr="000B320C">
              <w:t>.</w:t>
            </w:r>
            <w:r w:rsidR="00AA5B38">
              <w:t xml:space="preserve"> </w:t>
            </w:r>
            <w:r w:rsidR="004754C4" w:rsidRPr="00AA5B38">
              <w:rPr>
                <w:u w:val="single"/>
              </w:rPr>
              <w:t>Patterning</w:t>
            </w:r>
            <w:r w:rsidR="004754C4" w:rsidRPr="00AA5B38">
              <w:t>:</w:t>
            </w:r>
            <w:r w:rsidR="005A55F7">
              <w:t xml:space="preserve"> the aggregate d</w:t>
            </w:r>
            <w:r w:rsidR="005A55F7" w:rsidRPr="000B320C">
              <w:t xml:space="preserve">ata </w:t>
            </w:r>
            <w:r w:rsidR="005A55F7">
              <w:t>show</w:t>
            </w:r>
            <w:r w:rsidR="005A55F7" w:rsidRPr="000B320C">
              <w:t xml:space="preserve"> a pattern </w:t>
            </w:r>
            <w:r w:rsidR="005A55F7">
              <w:t xml:space="preserve">similar </w:t>
            </w:r>
            <w:r w:rsidR="005A55F7" w:rsidRPr="000B320C">
              <w:t xml:space="preserve">to </w:t>
            </w:r>
            <w:r w:rsidR="005A55F7">
              <w:t>this</w:t>
            </w:r>
            <w:r w:rsidR="005A55F7" w:rsidRPr="000B320C">
              <w:t xml:space="preserve"> study, with dogs </w:t>
            </w:r>
            <w:r w:rsidR="005A55F7">
              <w:t xml:space="preserve">lying </w:t>
            </w:r>
            <w:r w:rsidR="005A55F7" w:rsidRPr="000B320C">
              <w:t xml:space="preserve">along </w:t>
            </w:r>
            <w:r w:rsidR="005A55F7">
              <w:t xml:space="preserve">a </w:t>
            </w:r>
            <w:r w:rsidR="005A55F7" w:rsidRPr="000B320C">
              <w:t xml:space="preserve">shallower </w:t>
            </w:r>
            <w:r w:rsidR="00AC2A48" w:rsidRPr="00E60A30">
              <w:t>δ</w:t>
            </w:r>
            <w:r w:rsidR="00AC2A48" w:rsidRPr="00E60A30">
              <w:rPr>
                <w:vertAlign w:val="superscript"/>
              </w:rPr>
              <w:t>1</w:t>
            </w:r>
            <w:r w:rsidR="00AC2A48">
              <w:rPr>
                <w:vertAlign w:val="superscript"/>
              </w:rPr>
              <w:t>3</w:t>
            </w:r>
            <w:r w:rsidR="00AC2A48">
              <w:t>C-</w:t>
            </w:r>
            <w:r w:rsidR="00AC2A48" w:rsidRPr="00E60A30">
              <w:t xml:space="preserve"> δ</w:t>
            </w:r>
            <w:r w:rsidR="00AC2A48" w:rsidRPr="00E60A30">
              <w:rPr>
                <w:vertAlign w:val="superscript"/>
              </w:rPr>
              <w:t>15</w:t>
            </w:r>
            <w:r w:rsidR="00AC2A48" w:rsidRPr="00E60A30">
              <w:t>N</w:t>
            </w:r>
            <w:r w:rsidR="00AC2A48">
              <w:t xml:space="preserve"> slope</w:t>
            </w:r>
            <w:r w:rsidR="005A55F7" w:rsidRPr="000B320C">
              <w:t xml:space="preserve"> </w:t>
            </w:r>
            <w:r w:rsidR="005A55F7">
              <w:t xml:space="preserve">than humans </w:t>
            </w:r>
            <w:r w:rsidR="005A55F7" w:rsidRPr="000B320C">
              <w:t>(see pg. 2144)</w:t>
            </w:r>
            <w:r w:rsidR="005A55F7">
              <w:t>.</w:t>
            </w:r>
          </w:p>
        </w:tc>
      </w:tr>
      <w:tr w:rsidR="00F8071C" w:rsidRPr="000B320C" w14:paraId="3AC53E10" w14:textId="77777777">
        <w:tc>
          <w:tcPr>
            <w:tcW w:w="1242" w:type="dxa"/>
          </w:tcPr>
          <w:p w14:paraId="00D532B6" w14:textId="77777777" w:rsidR="00F8071C" w:rsidRPr="000B320C" w:rsidRDefault="00BF1C5F" w:rsidP="00F8071C">
            <w:r>
              <w:t>[</w:t>
            </w:r>
            <w:r w:rsidR="004C3A15">
              <w:t>4</w:t>
            </w:r>
            <w:r>
              <w:t>]</w:t>
            </w:r>
          </w:p>
        </w:tc>
        <w:tc>
          <w:tcPr>
            <w:tcW w:w="3261" w:type="dxa"/>
          </w:tcPr>
          <w:p w14:paraId="0E07240C" w14:textId="77777777" w:rsidR="00F8071C" w:rsidRPr="000B320C" w:rsidRDefault="00F8071C" w:rsidP="00F8071C">
            <w:proofErr w:type="spellStart"/>
            <w:r w:rsidRPr="000B320C">
              <w:t>Resmo</w:t>
            </w:r>
            <w:proofErr w:type="spellEnd"/>
            <w:r w:rsidRPr="000B320C">
              <w:t xml:space="preserve"> and </w:t>
            </w:r>
            <w:proofErr w:type="spellStart"/>
            <w:r w:rsidRPr="000B320C">
              <w:t>Torsborg</w:t>
            </w:r>
            <w:proofErr w:type="spellEnd"/>
            <w:r w:rsidRPr="000B320C">
              <w:t>, Sweden</w:t>
            </w:r>
          </w:p>
        </w:tc>
        <w:tc>
          <w:tcPr>
            <w:tcW w:w="9922" w:type="dxa"/>
          </w:tcPr>
          <w:p w14:paraId="42FE8F1E" w14:textId="77777777" w:rsidR="004754C4" w:rsidRPr="000B320C" w:rsidRDefault="00176E14" w:rsidP="00CF1E26">
            <w:r>
              <w:t xml:space="preserve">The </w:t>
            </w:r>
            <w:proofErr w:type="spellStart"/>
            <w:r w:rsidRPr="000B320C">
              <w:t>Resmo</w:t>
            </w:r>
            <w:proofErr w:type="spellEnd"/>
            <w:r w:rsidRPr="000B320C">
              <w:t xml:space="preserve"> dogs are not dated</w:t>
            </w:r>
            <w:r>
              <w:t xml:space="preserve">, making comparability </w:t>
            </w:r>
            <w:proofErr w:type="gramStart"/>
            <w:r>
              <w:t>unclear  as</w:t>
            </w:r>
            <w:proofErr w:type="gramEnd"/>
            <w:r>
              <w:t xml:space="preserve"> h</w:t>
            </w:r>
            <w:r w:rsidR="00E60A30">
              <w:t>uman diets</w:t>
            </w:r>
            <w:r w:rsidR="00E60A30" w:rsidRPr="000B320C">
              <w:t xml:space="preserve"> at </w:t>
            </w:r>
            <w:proofErr w:type="spellStart"/>
            <w:r w:rsidR="00E60A30" w:rsidRPr="000B320C">
              <w:t>Resmo</w:t>
            </w:r>
            <w:proofErr w:type="spellEnd"/>
            <w:r w:rsidR="00E60A30" w:rsidRPr="000B320C">
              <w:t xml:space="preserve"> varied over time</w:t>
            </w:r>
            <w:r w:rsidR="00F8071C" w:rsidRPr="000B320C">
              <w:t xml:space="preserve">. At </w:t>
            </w:r>
            <w:proofErr w:type="spellStart"/>
            <w:r w:rsidR="00F8071C" w:rsidRPr="000B320C">
              <w:t>Torsborg</w:t>
            </w:r>
            <w:proofErr w:type="spellEnd"/>
            <w:r w:rsidR="00F8071C" w:rsidRPr="000B320C">
              <w:t xml:space="preserve"> only </w:t>
            </w:r>
            <w:r w:rsidR="00E60A30">
              <w:t>two</w:t>
            </w:r>
            <w:r w:rsidR="00F8071C" w:rsidRPr="000B320C">
              <w:t xml:space="preserve"> dogs were </w:t>
            </w:r>
            <w:r w:rsidR="005A55F7">
              <w:t>analysed</w:t>
            </w:r>
            <w:r w:rsidR="00F8071C" w:rsidRPr="000B320C">
              <w:t>, and one of these is outside the date range of the humans.</w:t>
            </w:r>
            <w:r w:rsidR="00AA5B38">
              <w:t xml:space="preserve"> </w:t>
            </w:r>
            <w:r w:rsidR="004754C4" w:rsidRPr="00AA5B38">
              <w:rPr>
                <w:u w:val="single"/>
              </w:rPr>
              <w:t>Patterning</w:t>
            </w:r>
            <w:r w:rsidR="004754C4" w:rsidRPr="00AA5B38">
              <w:t>:</w:t>
            </w:r>
            <w:r w:rsidR="004754C4">
              <w:t xml:space="preserve"> </w:t>
            </w:r>
            <w:r w:rsidR="00CF1E26">
              <w:t xml:space="preserve">at </w:t>
            </w:r>
            <w:proofErr w:type="spellStart"/>
            <w:r w:rsidR="00CF1E26">
              <w:t>Resmo</w:t>
            </w:r>
            <w:proofErr w:type="spellEnd"/>
            <w:r w:rsidR="00CF1E26">
              <w:t xml:space="preserve"> dogs largely overlap the human range for </w:t>
            </w:r>
            <w:r w:rsidR="00CF1E26" w:rsidRPr="00E60A30">
              <w:t>δ</w:t>
            </w:r>
            <w:r w:rsidR="00CF1E26" w:rsidRPr="00E60A30">
              <w:rPr>
                <w:vertAlign w:val="superscript"/>
              </w:rPr>
              <w:t>15</w:t>
            </w:r>
            <w:r w:rsidR="00CF1E26" w:rsidRPr="00E60A30">
              <w:t>N</w:t>
            </w:r>
            <w:r w:rsidR="00CF1E26">
              <w:t xml:space="preserve"> and </w:t>
            </w:r>
            <w:r w:rsidR="00CF1E26" w:rsidRPr="00E60A30">
              <w:t>δ</w:t>
            </w:r>
            <w:r w:rsidR="00CF1E26" w:rsidRPr="00E60A30">
              <w:rPr>
                <w:vertAlign w:val="superscript"/>
              </w:rPr>
              <w:t>1</w:t>
            </w:r>
            <w:r w:rsidR="00CF1E26">
              <w:rPr>
                <w:vertAlign w:val="superscript"/>
              </w:rPr>
              <w:t>3</w:t>
            </w:r>
            <w:r w:rsidR="00CF1E26">
              <w:t xml:space="preserve">C but show two outlying </w:t>
            </w:r>
            <w:r w:rsidR="00CF1E26" w:rsidRPr="00E60A30">
              <w:t>δ</w:t>
            </w:r>
            <w:r w:rsidR="00CF1E26" w:rsidRPr="00E60A30">
              <w:rPr>
                <w:vertAlign w:val="superscript"/>
              </w:rPr>
              <w:t>1</w:t>
            </w:r>
            <w:r w:rsidR="00CF1E26">
              <w:rPr>
                <w:vertAlign w:val="superscript"/>
              </w:rPr>
              <w:t>3</w:t>
            </w:r>
            <w:r w:rsidR="00CF1E26">
              <w:t xml:space="preserve">C values well above the highest human </w:t>
            </w:r>
            <w:r w:rsidR="00CF1E26" w:rsidRPr="00E60A30">
              <w:t>δ</w:t>
            </w:r>
            <w:r w:rsidR="00CF1E26" w:rsidRPr="00E60A30">
              <w:rPr>
                <w:vertAlign w:val="superscript"/>
              </w:rPr>
              <w:t>1</w:t>
            </w:r>
            <w:r w:rsidR="00CF1E26">
              <w:rPr>
                <w:vertAlign w:val="superscript"/>
              </w:rPr>
              <w:t>3</w:t>
            </w:r>
            <w:r w:rsidR="00CF1E26">
              <w:t xml:space="preserve">C value. </w:t>
            </w:r>
            <w:r w:rsidR="00CF1E26" w:rsidRPr="000B320C">
              <w:t xml:space="preserve">At </w:t>
            </w:r>
            <w:proofErr w:type="spellStart"/>
            <w:r w:rsidR="00CF1E26" w:rsidRPr="000B320C">
              <w:t>Torsborg</w:t>
            </w:r>
            <w:proofErr w:type="spellEnd"/>
            <w:r w:rsidR="00CF1E26">
              <w:t xml:space="preserve"> dogs fall within the human </w:t>
            </w:r>
            <w:r w:rsidR="00CF1E26" w:rsidRPr="00E60A30">
              <w:t>δ</w:t>
            </w:r>
            <w:r w:rsidR="00CF1E26" w:rsidRPr="00E60A30">
              <w:rPr>
                <w:vertAlign w:val="superscript"/>
              </w:rPr>
              <w:t>15</w:t>
            </w:r>
            <w:r w:rsidR="00CF1E26" w:rsidRPr="00E60A30">
              <w:t>N</w:t>
            </w:r>
            <w:r w:rsidR="00CF1E26">
              <w:t xml:space="preserve"> and </w:t>
            </w:r>
            <w:r w:rsidR="00CF1E26" w:rsidRPr="00E60A30">
              <w:t>δ</w:t>
            </w:r>
            <w:r w:rsidR="00CF1E26" w:rsidRPr="00E60A30">
              <w:rPr>
                <w:vertAlign w:val="superscript"/>
              </w:rPr>
              <w:t>1</w:t>
            </w:r>
            <w:r w:rsidR="00CF1E26">
              <w:rPr>
                <w:vertAlign w:val="superscript"/>
              </w:rPr>
              <w:t>3</w:t>
            </w:r>
            <w:r w:rsidR="00CF1E26">
              <w:t>C ranges.</w:t>
            </w:r>
          </w:p>
        </w:tc>
      </w:tr>
      <w:tr w:rsidR="00F8071C" w:rsidRPr="000B320C" w14:paraId="12FCCE43" w14:textId="77777777">
        <w:tc>
          <w:tcPr>
            <w:tcW w:w="1242" w:type="dxa"/>
          </w:tcPr>
          <w:p w14:paraId="3BEACAF9" w14:textId="77777777" w:rsidR="00F8071C" w:rsidRPr="000B320C" w:rsidRDefault="00BF1C5F" w:rsidP="00F8071C">
            <w:r>
              <w:t>[</w:t>
            </w:r>
            <w:r w:rsidR="004C3A15">
              <w:t>11</w:t>
            </w:r>
            <w:r>
              <w:t>]</w:t>
            </w:r>
          </w:p>
        </w:tc>
        <w:tc>
          <w:tcPr>
            <w:tcW w:w="3261" w:type="dxa"/>
          </w:tcPr>
          <w:p w14:paraId="39798029" w14:textId="77777777" w:rsidR="00F8071C" w:rsidRPr="000B320C" w:rsidRDefault="00F8071C" w:rsidP="00F8071C">
            <w:r w:rsidRPr="000B320C">
              <w:t>Eastern United States</w:t>
            </w:r>
          </w:p>
        </w:tc>
        <w:tc>
          <w:tcPr>
            <w:tcW w:w="9922" w:type="dxa"/>
          </w:tcPr>
          <w:p w14:paraId="0536663C" w14:textId="77777777" w:rsidR="004754C4" w:rsidRPr="000B320C" w:rsidRDefault="00E60A30" w:rsidP="00CF1E26">
            <w:r>
              <w:t xml:space="preserve">The </w:t>
            </w:r>
            <w:r w:rsidR="004754C4">
              <w:t xml:space="preserve">same-site </w:t>
            </w:r>
            <w:r w:rsidR="005A55F7">
              <w:t>data set is</w:t>
            </w:r>
            <w:r>
              <w:t xml:space="preserve"> limited to</w:t>
            </w:r>
            <w:r w:rsidR="00F8071C" w:rsidRPr="000B320C">
              <w:t xml:space="preserve"> </w:t>
            </w:r>
            <w:r w:rsidR="004754C4">
              <w:t xml:space="preserve">one dog and </w:t>
            </w:r>
            <w:r w:rsidR="005A55F7">
              <w:t xml:space="preserve">two </w:t>
            </w:r>
            <w:r w:rsidR="00F8071C" w:rsidRPr="000B320C">
              <w:t>humans</w:t>
            </w:r>
            <w:r w:rsidR="004754C4">
              <w:t xml:space="preserve"> (</w:t>
            </w:r>
            <w:r w:rsidR="005A55F7">
              <w:t>two additional dog</w:t>
            </w:r>
            <w:r w:rsidR="00F8071C" w:rsidRPr="000B320C">
              <w:t>s from a nearby site</w:t>
            </w:r>
            <w:r w:rsidR="004754C4">
              <w:t xml:space="preserve"> are also analysed)</w:t>
            </w:r>
            <w:r w:rsidR="00F8071C" w:rsidRPr="000B320C">
              <w:t>.</w:t>
            </w:r>
            <w:r w:rsidR="00AA5B38">
              <w:t xml:space="preserve"> </w:t>
            </w:r>
            <w:r w:rsidR="004754C4" w:rsidRPr="00AA5B38">
              <w:rPr>
                <w:u w:val="single"/>
              </w:rPr>
              <w:t>Patterning</w:t>
            </w:r>
            <w:r w:rsidR="004754C4" w:rsidRPr="00AA5B38">
              <w:t>:</w:t>
            </w:r>
            <w:r w:rsidR="004754C4">
              <w:t xml:space="preserve"> </w:t>
            </w:r>
            <w:r w:rsidR="00CF1E26">
              <w:t xml:space="preserve">dog </w:t>
            </w:r>
            <w:r w:rsidR="00CF1E26" w:rsidRPr="00E60A30">
              <w:t>δ</w:t>
            </w:r>
            <w:r w:rsidR="00CF1E26" w:rsidRPr="00E60A30">
              <w:rPr>
                <w:vertAlign w:val="superscript"/>
              </w:rPr>
              <w:t>1</w:t>
            </w:r>
            <w:r w:rsidR="00CF1E26">
              <w:rPr>
                <w:vertAlign w:val="superscript"/>
              </w:rPr>
              <w:t>3</w:t>
            </w:r>
            <w:r w:rsidR="00CF1E26">
              <w:t xml:space="preserve">C values overlap the human </w:t>
            </w:r>
            <w:r w:rsidR="00CF1E26" w:rsidRPr="00E60A30">
              <w:t>δ</w:t>
            </w:r>
            <w:r w:rsidR="00CF1E26" w:rsidRPr="00E60A30">
              <w:rPr>
                <w:vertAlign w:val="superscript"/>
              </w:rPr>
              <w:t>1</w:t>
            </w:r>
            <w:r w:rsidR="00CF1E26">
              <w:rPr>
                <w:vertAlign w:val="superscript"/>
              </w:rPr>
              <w:t>3</w:t>
            </w:r>
            <w:r w:rsidR="00CF1E26">
              <w:t xml:space="preserve">C range but are somewhat higher; dog </w:t>
            </w:r>
            <w:r w:rsidR="00CF1E26" w:rsidRPr="00E60A30">
              <w:t>δ</w:t>
            </w:r>
            <w:r w:rsidR="00CF1E26" w:rsidRPr="00E60A30">
              <w:rPr>
                <w:vertAlign w:val="superscript"/>
              </w:rPr>
              <w:t>15</w:t>
            </w:r>
            <w:r w:rsidR="00CF1E26" w:rsidRPr="00E60A30">
              <w:t>N</w:t>
            </w:r>
            <w:r w:rsidR="00CF1E26">
              <w:t xml:space="preserve"> values are </w:t>
            </w:r>
            <w:r w:rsidR="0015657A">
              <w:t xml:space="preserve">somewhat </w:t>
            </w:r>
            <w:r w:rsidR="00CF1E26">
              <w:t xml:space="preserve">below human </w:t>
            </w:r>
            <w:r w:rsidR="00CF1E26" w:rsidRPr="00E60A30">
              <w:t>δ</w:t>
            </w:r>
            <w:r w:rsidR="00CF1E26" w:rsidRPr="00E60A30">
              <w:rPr>
                <w:vertAlign w:val="superscript"/>
              </w:rPr>
              <w:t>15</w:t>
            </w:r>
            <w:r w:rsidR="00CF1E26" w:rsidRPr="00E60A30">
              <w:t>N</w:t>
            </w:r>
            <w:r w:rsidR="00CF1E26">
              <w:t xml:space="preserve"> values</w:t>
            </w:r>
            <w:r w:rsidR="0015657A">
              <w:t xml:space="preserve"> (no overlap)</w:t>
            </w:r>
            <w:r w:rsidR="00CF1E26">
              <w:t>.</w:t>
            </w:r>
          </w:p>
        </w:tc>
      </w:tr>
      <w:tr w:rsidR="00F8071C" w:rsidRPr="000B320C" w14:paraId="1B09E2A6" w14:textId="77777777">
        <w:tc>
          <w:tcPr>
            <w:tcW w:w="1242" w:type="dxa"/>
          </w:tcPr>
          <w:p w14:paraId="0781983D" w14:textId="77777777" w:rsidR="00F8071C" w:rsidRPr="000B320C" w:rsidRDefault="00BF1C5F" w:rsidP="00F8071C">
            <w:r>
              <w:t>[</w:t>
            </w:r>
            <w:r w:rsidR="004C3A15">
              <w:t>12</w:t>
            </w:r>
            <w:r>
              <w:t>]</w:t>
            </w:r>
          </w:p>
        </w:tc>
        <w:tc>
          <w:tcPr>
            <w:tcW w:w="3261" w:type="dxa"/>
          </w:tcPr>
          <w:p w14:paraId="11BA22F8" w14:textId="77777777" w:rsidR="00F8071C" w:rsidRPr="000B320C" w:rsidRDefault="00F8071C" w:rsidP="00F8071C">
            <w:r w:rsidRPr="000B320C">
              <w:t>Ontario, Canada</w:t>
            </w:r>
          </w:p>
        </w:tc>
        <w:tc>
          <w:tcPr>
            <w:tcW w:w="9922" w:type="dxa"/>
          </w:tcPr>
          <w:p w14:paraId="2CDC5086" w14:textId="77777777" w:rsidR="004754C4" w:rsidRPr="000B320C" w:rsidRDefault="00E60A30" w:rsidP="00E60A30">
            <w:r>
              <w:t>The h</w:t>
            </w:r>
            <w:r w:rsidR="00F8071C" w:rsidRPr="000B320C">
              <w:t xml:space="preserve">uman and </w:t>
            </w:r>
            <w:r>
              <w:t>dog</w:t>
            </w:r>
            <w:r w:rsidR="00F8071C" w:rsidRPr="000B320C">
              <w:t xml:space="preserve"> samples are not from the same site</w:t>
            </w:r>
            <w:r>
              <w:t>, although the sites are</w:t>
            </w:r>
            <w:r w:rsidR="00F8071C" w:rsidRPr="000B320C">
              <w:t xml:space="preserve"> </w:t>
            </w:r>
            <w:r w:rsidR="00AC2A48">
              <w:t>near</w:t>
            </w:r>
            <w:r w:rsidR="00F8071C" w:rsidRPr="000B320C">
              <w:t xml:space="preserve">by </w:t>
            </w:r>
            <w:r w:rsidR="00CF1E26">
              <w:t xml:space="preserve">(48 km. apart) </w:t>
            </w:r>
            <w:r w:rsidR="00F8071C" w:rsidRPr="000B320C">
              <w:t xml:space="preserve">and </w:t>
            </w:r>
            <w:r w:rsidR="00CF1E26">
              <w:t xml:space="preserve">roughly </w:t>
            </w:r>
            <w:r w:rsidR="00F8071C" w:rsidRPr="000B320C">
              <w:t>contemporaneous.</w:t>
            </w:r>
            <w:r w:rsidR="00AA5B38">
              <w:t xml:space="preserve"> </w:t>
            </w:r>
            <w:r w:rsidR="004754C4" w:rsidRPr="00AA5B38">
              <w:rPr>
                <w:u w:val="single"/>
              </w:rPr>
              <w:t>Patterning</w:t>
            </w:r>
            <w:r w:rsidR="004754C4" w:rsidRPr="00AA5B38">
              <w:t>:</w:t>
            </w:r>
            <w:r w:rsidR="004754C4">
              <w:t xml:space="preserve"> </w:t>
            </w:r>
            <w:r w:rsidR="00CF1E26">
              <w:t xml:space="preserve">dog </w:t>
            </w:r>
            <w:r w:rsidR="00CF1E26" w:rsidRPr="00E60A30">
              <w:t>δ</w:t>
            </w:r>
            <w:r w:rsidR="00CF1E26" w:rsidRPr="00E60A30">
              <w:rPr>
                <w:vertAlign w:val="superscript"/>
              </w:rPr>
              <w:t>1</w:t>
            </w:r>
            <w:r w:rsidR="00CF1E26">
              <w:rPr>
                <w:vertAlign w:val="superscript"/>
              </w:rPr>
              <w:t>3</w:t>
            </w:r>
            <w:r w:rsidR="00CF1E26">
              <w:t xml:space="preserve">C values overlap the human </w:t>
            </w:r>
            <w:r w:rsidR="00CF1E26" w:rsidRPr="00E60A30">
              <w:t>δ</w:t>
            </w:r>
            <w:r w:rsidR="00CF1E26" w:rsidRPr="00E60A30">
              <w:rPr>
                <w:vertAlign w:val="superscript"/>
              </w:rPr>
              <w:t>1</w:t>
            </w:r>
            <w:r w:rsidR="00CF1E26">
              <w:rPr>
                <w:vertAlign w:val="superscript"/>
              </w:rPr>
              <w:t>3</w:t>
            </w:r>
            <w:r w:rsidR="00CF1E26">
              <w:t xml:space="preserve">C range but are somewhat higher; dog </w:t>
            </w:r>
            <w:r w:rsidR="00CF1E26" w:rsidRPr="00E60A30">
              <w:t>δ</w:t>
            </w:r>
            <w:r w:rsidR="00CF1E26" w:rsidRPr="00E60A30">
              <w:rPr>
                <w:vertAlign w:val="superscript"/>
              </w:rPr>
              <w:t>15</w:t>
            </w:r>
            <w:r w:rsidR="00CF1E26" w:rsidRPr="00E60A30">
              <w:t>N</w:t>
            </w:r>
            <w:r w:rsidR="00CF1E26">
              <w:t xml:space="preserve"> values are </w:t>
            </w:r>
            <w:r w:rsidR="0015657A">
              <w:t xml:space="preserve">well </w:t>
            </w:r>
            <w:r w:rsidR="00CF1E26">
              <w:t xml:space="preserve">below human </w:t>
            </w:r>
            <w:r w:rsidR="00CF1E26" w:rsidRPr="00E60A30">
              <w:t>δ</w:t>
            </w:r>
            <w:r w:rsidR="00CF1E26" w:rsidRPr="00E60A30">
              <w:rPr>
                <w:vertAlign w:val="superscript"/>
              </w:rPr>
              <w:t>15</w:t>
            </w:r>
            <w:r w:rsidR="00CF1E26" w:rsidRPr="00E60A30">
              <w:t>N</w:t>
            </w:r>
            <w:r w:rsidR="00CF1E26">
              <w:t xml:space="preserve"> values</w:t>
            </w:r>
            <w:r w:rsidR="0015657A">
              <w:t xml:space="preserve"> (no overlap).</w:t>
            </w:r>
          </w:p>
        </w:tc>
      </w:tr>
      <w:tr w:rsidR="00F8071C" w:rsidRPr="000B320C" w14:paraId="224BA704" w14:textId="77777777">
        <w:tc>
          <w:tcPr>
            <w:tcW w:w="1242" w:type="dxa"/>
          </w:tcPr>
          <w:p w14:paraId="6548B618" w14:textId="77777777" w:rsidR="00F8071C" w:rsidRPr="000B320C" w:rsidRDefault="00BF1C5F" w:rsidP="00F8071C">
            <w:r>
              <w:t>[13]</w:t>
            </w:r>
            <w:r w:rsidR="00F8071C" w:rsidRPr="000B320C">
              <w:t xml:space="preserve"> </w:t>
            </w:r>
          </w:p>
        </w:tc>
        <w:tc>
          <w:tcPr>
            <w:tcW w:w="3261" w:type="dxa"/>
          </w:tcPr>
          <w:p w14:paraId="317EB4F9" w14:textId="77777777" w:rsidR="00F8071C" w:rsidRPr="000B320C" w:rsidRDefault="00F8071C" w:rsidP="00F8071C">
            <w:proofErr w:type="spellStart"/>
            <w:r w:rsidRPr="000B320C">
              <w:t>Hanamiai</w:t>
            </w:r>
            <w:proofErr w:type="spellEnd"/>
            <w:r w:rsidRPr="000B320C">
              <w:t xml:space="preserve">, French Polynesia </w:t>
            </w:r>
          </w:p>
        </w:tc>
        <w:tc>
          <w:tcPr>
            <w:tcW w:w="9922" w:type="dxa"/>
          </w:tcPr>
          <w:p w14:paraId="64F190C4" w14:textId="77777777" w:rsidR="004754C4" w:rsidRPr="000B320C" w:rsidRDefault="00E60A30" w:rsidP="005A55F7">
            <w:r>
              <w:t xml:space="preserve">The </w:t>
            </w:r>
            <w:proofErr w:type="gramStart"/>
            <w:r>
              <w:t>h</w:t>
            </w:r>
            <w:r w:rsidR="00F8071C" w:rsidRPr="000B320C">
              <w:t>umans</w:t>
            </w:r>
            <w:proofErr w:type="gramEnd"/>
            <w:r w:rsidR="00F8071C" w:rsidRPr="000B320C">
              <w:t xml:space="preserve"> </w:t>
            </w:r>
            <w:r>
              <w:t xml:space="preserve">samples </w:t>
            </w:r>
            <w:r w:rsidR="00F8071C" w:rsidRPr="000B320C">
              <w:t>are</w:t>
            </w:r>
            <w:r>
              <w:t xml:space="preserve"> </w:t>
            </w:r>
            <w:r w:rsidR="00F8071C" w:rsidRPr="000B320C">
              <w:t>n</w:t>
            </w:r>
            <w:r>
              <w:t>o</w:t>
            </w:r>
            <w:r w:rsidR="00F8071C" w:rsidRPr="000B320C">
              <w:t xml:space="preserve">t dated, </w:t>
            </w:r>
            <w:r>
              <w:t>making comparability unclear as trends in the dog remains show</w:t>
            </w:r>
            <w:r w:rsidR="00F8071C" w:rsidRPr="000B320C">
              <w:t xml:space="preserve"> that marine use changed over time</w:t>
            </w:r>
            <w:r>
              <w:t>.</w:t>
            </w:r>
            <w:r w:rsidR="00AA5B38">
              <w:t xml:space="preserve"> </w:t>
            </w:r>
            <w:r w:rsidR="004754C4" w:rsidRPr="00AA5B38">
              <w:rPr>
                <w:u w:val="single"/>
              </w:rPr>
              <w:t>Patterning</w:t>
            </w:r>
            <w:r w:rsidR="004754C4" w:rsidRPr="00AA5B38">
              <w:t>:</w:t>
            </w:r>
            <w:r w:rsidR="004754C4">
              <w:t xml:space="preserve"> </w:t>
            </w:r>
            <w:r w:rsidR="0015657A">
              <w:t xml:space="preserve">dog </w:t>
            </w:r>
            <w:r w:rsidR="0015657A" w:rsidRPr="00E60A30">
              <w:t>δ</w:t>
            </w:r>
            <w:r w:rsidR="0015657A" w:rsidRPr="00E60A30">
              <w:rPr>
                <w:vertAlign w:val="superscript"/>
              </w:rPr>
              <w:t>1</w:t>
            </w:r>
            <w:r w:rsidR="0015657A">
              <w:rPr>
                <w:vertAlign w:val="superscript"/>
              </w:rPr>
              <w:t>3</w:t>
            </w:r>
            <w:r w:rsidR="0015657A">
              <w:t xml:space="preserve">C values overlap the human </w:t>
            </w:r>
            <w:r w:rsidR="0015657A" w:rsidRPr="00E60A30">
              <w:t>δ</w:t>
            </w:r>
            <w:r w:rsidR="0015657A" w:rsidRPr="00E60A30">
              <w:rPr>
                <w:vertAlign w:val="superscript"/>
              </w:rPr>
              <w:t>1</w:t>
            </w:r>
            <w:r w:rsidR="0015657A">
              <w:rPr>
                <w:vertAlign w:val="superscript"/>
              </w:rPr>
              <w:t>3</w:t>
            </w:r>
            <w:r w:rsidR="0015657A">
              <w:t xml:space="preserve">C range but are somewhat higher; dog </w:t>
            </w:r>
            <w:r w:rsidR="0015657A" w:rsidRPr="00E60A30">
              <w:t>δ</w:t>
            </w:r>
            <w:r w:rsidR="0015657A" w:rsidRPr="00E60A30">
              <w:rPr>
                <w:vertAlign w:val="superscript"/>
              </w:rPr>
              <w:t>15</w:t>
            </w:r>
            <w:r w:rsidR="0015657A" w:rsidRPr="00E60A30">
              <w:t>N</w:t>
            </w:r>
            <w:r w:rsidR="0015657A">
              <w:t xml:space="preserve"> values are well below human </w:t>
            </w:r>
            <w:r w:rsidR="0015657A" w:rsidRPr="00E60A30">
              <w:t>δ</w:t>
            </w:r>
            <w:r w:rsidR="0015657A" w:rsidRPr="00E60A30">
              <w:rPr>
                <w:vertAlign w:val="superscript"/>
              </w:rPr>
              <w:t>15</w:t>
            </w:r>
            <w:r w:rsidR="0015657A" w:rsidRPr="00E60A30">
              <w:t>N</w:t>
            </w:r>
            <w:r w:rsidR="0015657A">
              <w:t xml:space="preserve"> values (no overlap).</w:t>
            </w:r>
          </w:p>
        </w:tc>
      </w:tr>
      <w:tr w:rsidR="00F8071C" w:rsidRPr="000B320C" w14:paraId="0E532148" w14:textId="77777777">
        <w:tc>
          <w:tcPr>
            <w:tcW w:w="1242" w:type="dxa"/>
          </w:tcPr>
          <w:p w14:paraId="4B5308F0" w14:textId="77777777" w:rsidR="00F8071C" w:rsidRPr="000B320C" w:rsidRDefault="00BF1C5F" w:rsidP="00F8071C">
            <w:r>
              <w:t>[</w:t>
            </w:r>
            <w:r w:rsidR="004C3A15">
              <w:t>14</w:t>
            </w:r>
            <w:r>
              <w:t>]</w:t>
            </w:r>
          </w:p>
        </w:tc>
        <w:tc>
          <w:tcPr>
            <w:tcW w:w="3261" w:type="dxa"/>
          </w:tcPr>
          <w:p w14:paraId="4B8AB9C7" w14:textId="77777777" w:rsidR="00F8071C" w:rsidRPr="000B320C" w:rsidRDefault="00F8071C" w:rsidP="00F8071C">
            <w:r w:rsidRPr="000B320C">
              <w:t>Ohio Valley, United States</w:t>
            </w:r>
          </w:p>
        </w:tc>
        <w:tc>
          <w:tcPr>
            <w:tcW w:w="9922" w:type="dxa"/>
          </w:tcPr>
          <w:p w14:paraId="2405D1EC" w14:textId="77777777" w:rsidR="004754C4" w:rsidRPr="000B320C" w:rsidRDefault="00F8071C" w:rsidP="004754C4">
            <w:r w:rsidRPr="000B320C">
              <w:t>The</w:t>
            </w:r>
            <w:r w:rsidR="005A55F7">
              <w:t xml:space="preserve"> </w:t>
            </w:r>
            <w:r w:rsidR="00BC5AE0">
              <w:t xml:space="preserve">same-site </w:t>
            </w:r>
            <w:r w:rsidR="005A55F7">
              <w:t xml:space="preserve">data set includes </w:t>
            </w:r>
            <w:r w:rsidRPr="000B320C">
              <w:t xml:space="preserve">only one dog </w:t>
            </w:r>
            <w:r w:rsidR="00BC5AE0">
              <w:t>and five humans</w:t>
            </w:r>
            <w:r w:rsidRPr="000B320C">
              <w:t xml:space="preserve">. </w:t>
            </w:r>
            <w:r w:rsidR="004754C4" w:rsidRPr="00AA5B38">
              <w:rPr>
                <w:u w:val="single"/>
              </w:rPr>
              <w:t>Patterning</w:t>
            </w:r>
            <w:r w:rsidR="004754C4" w:rsidRPr="00AA5B38">
              <w:t>:</w:t>
            </w:r>
            <w:r w:rsidR="004754C4">
              <w:t xml:space="preserve"> dogs are within the human range for both </w:t>
            </w:r>
            <w:r w:rsidR="004754C4" w:rsidRPr="00E60A30">
              <w:t>δ</w:t>
            </w:r>
            <w:r w:rsidR="004754C4" w:rsidRPr="00E60A30">
              <w:rPr>
                <w:vertAlign w:val="superscript"/>
              </w:rPr>
              <w:t>15</w:t>
            </w:r>
            <w:r w:rsidR="004754C4" w:rsidRPr="00E60A30">
              <w:t>N</w:t>
            </w:r>
            <w:r w:rsidR="004754C4">
              <w:t xml:space="preserve"> and </w:t>
            </w:r>
            <w:r w:rsidR="004754C4" w:rsidRPr="00E60A30">
              <w:t>δ</w:t>
            </w:r>
            <w:r w:rsidR="004754C4" w:rsidRPr="00E60A30">
              <w:rPr>
                <w:vertAlign w:val="superscript"/>
              </w:rPr>
              <w:t>1</w:t>
            </w:r>
            <w:r w:rsidR="004754C4">
              <w:rPr>
                <w:vertAlign w:val="superscript"/>
              </w:rPr>
              <w:t>3</w:t>
            </w:r>
            <w:r w:rsidR="004754C4">
              <w:t>C.</w:t>
            </w:r>
          </w:p>
        </w:tc>
      </w:tr>
      <w:tr w:rsidR="00F8071C" w:rsidRPr="000B320C" w14:paraId="46274B79" w14:textId="77777777">
        <w:tc>
          <w:tcPr>
            <w:tcW w:w="1242" w:type="dxa"/>
          </w:tcPr>
          <w:p w14:paraId="263072C4" w14:textId="77777777" w:rsidR="00F8071C" w:rsidRPr="000B320C" w:rsidRDefault="00BF1C5F" w:rsidP="00F8071C">
            <w:r>
              <w:t>[</w:t>
            </w:r>
            <w:r w:rsidR="004C3A15">
              <w:t>14</w:t>
            </w:r>
            <w:r>
              <w:t>]</w:t>
            </w:r>
          </w:p>
        </w:tc>
        <w:tc>
          <w:tcPr>
            <w:tcW w:w="3261" w:type="dxa"/>
          </w:tcPr>
          <w:p w14:paraId="2BAF981B" w14:textId="77777777" w:rsidR="00F8071C" w:rsidRPr="000B320C" w:rsidRDefault="00F8071C" w:rsidP="00F8071C">
            <w:r w:rsidRPr="000B320C">
              <w:t>Nicaragua</w:t>
            </w:r>
            <w:r w:rsidR="005A55F7">
              <w:t xml:space="preserve"> (modern)</w:t>
            </w:r>
          </w:p>
        </w:tc>
        <w:tc>
          <w:tcPr>
            <w:tcW w:w="9922" w:type="dxa"/>
          </w:tcPr>
          <w:p w14:paraId="0A6B018E" w14:textId="77777777" w:rsidR="00F8071C" w:rsidRPr="000B320C" w:rsidRDefault="0070561A" w:rsidP="004754C4">
            <w:r>
              <w:t xml:space="preserve">Directly comparable human and dog </w:t>
            </w:r>
            <w:r w:rsidR="00F8071C" w:rsidRPr="000B320C">
              <w:t xml:space="preserve">samples </w:t>
            </w:r>
            <w:r>
              <w:t>consist of</w:t>
            </w:r>
            <w:r w:rsidR="005A55F7">
              <w:t xml:space="preserve"> hair</w:t>
            </w:r>
            <w:r w:rsidR="004754C4">
              <w:t xml:space="preserve"> (</w:t>
            </w:r>
            <w:r>
              <w:t>as opposed to the collagen values given in table S1</w:t>
            </w:r>
            <w:r w:rsidR="004754C4">
              <w:t>)</w:t>
            </w:r>
            <w:r w:rsidR="00F8071C" w:rsidRPr="000B320C">
              <w:t>.</w:t>
            </w:r>
            <w:r w:rsidR="00AA5B38">
              <w:t xml:space="preserve"> </w:t>
            </w:r>
            <w:r w:rsidR="004754C4" w:rsidRPr="00AA5B38">
              <w:rPr>
                <w:u w:val="single"/>
              </w:rPr>
              <w:t>Patterning</w:t>
            </w:r>
            <w:r w:rsidR="004754C4" w:rsidRPr="00AA5B38">
              <w:t>:</w:t>
            </w:r>
            <w:r>
              <w:t xml:space="preserve"> human and dog hair </w:t>
            </w:r>
            <w:r w:rsidR="004754C4">
              <w:t>from the same household are</w:t>
            </w:r>
            <w:r>
              <w:t xml:space="preserve"> </w:t>
            </w:r>
            <w:r w:rsidR="004754C4">
              <w:t xml:space="preserve">similar, with dogs showing slightly elevated </w:t>
            </w:r>
            <w:r w:rsidR="004754C4" w:rsidRPr="00E60A30">
              <w:t>δ</w:t>
            </w:r>
            <w:r w:rsidR="004754C4" w:rsidRPr="00E60A30">
              <w:rPr>
                <w:vertAlign w:val="superscript"/>
              </w:rPr>
              <w:t>15</w:t>
            </w:r>
            <w:r w:rsidR="004754C4" w:rsidRPr="00E60A30">
              <w:t>N</w:t>
            </w:r>
            <w:r w:rsidR="004754C4">
              <w:t xml:space="preserve"> relative to humans and similar </w:t>
            </w:r>
            <w:r w:rsidR="004754C4" w:rsidRPr="00E60A30">
              <w:t>δ</w:t>
            </w:r>
            <w:r w:rsidR="004754C4" w:rsidRPr="00E60A30">
              <w:rPr>
                <w:vertAlign w:val="superscript"/>
              </w:rPr>
              <w:t>1</w:t>
            </w:r>
            <w:r w:rsidR="004754C4">
              <w:rPr>
                <w:vertAlign w:val="superscript"/>
              </w:rPr>
              <w:t>3</w:t>
            </w:r>
            <w:r w:rsidR="004754C4">
              <w:t>C.</w:t>
            </w:r>
          </w:p>
        </w:tc>
      </w:tr>
    </w:tbl>
    <w:p w14:paraId="6C874535" w14:textId="77777777" w:rsidR="00F8071C" w:rsidRPr="000B320C" w:rsidRDefault="00F8071C" w:rsidP="00F8071C"/>
    <w:p w14:paraId="1C7703CF" w14:textId="77777777" w:rsidR="000B3DD3" w:rsidRDefault="000B3DD3" w:rsidP="00F8071C"/>
    <w:p w14:paraId="1CD9D1ED" w14:textId="77777777" w:rsidR="00F8071C" w:rsidRPr="000B320C" w:rsidRDefault="00F8071C" w:rsidP="00F8071C"/>
    <w:p w14:paraId="6B572DA3" w14:textId="77777777" w:rsidR="00F8071C" w:rsidRPr="000B320C" w:rsidRDefault="00F8071C" w:rsidP="00F8071C">
      <w:pPr>
        <w:rPr>
          <w:b/>
        </w:rPr>
      </w:pPr>
      <w:r w:rsidRPr="000B320C">
        <w:rPr>
          <w:b/>
        </w:rPr>
        <w:t>References Cited</w:t>
      </w:r>
    </w:p>
    <w:p w14:paraId="0A7EBD6E" w14:textId="77777777" w:rsidR="00F8071C" w:rsidRPr="000B320C" w:rsidRDefault="00CE7822" w:rsidP="005839F2">
      <w:pPr>
        <w:ind w:left="720" w:hanging="720"/>
      </w:pPr>
      <w:r>
        <w:t xml:space="preserve">1. </w:t>
      </w:r>
      <w:r w:rsidR="005839F2">
        <w:tab/>
      </w:r>
      <w:r w:rsidR="00772B04">
        <w:t>Allen MS, Craig JA</w:t>
      </w:r>
      <w:r w:rsidR="00F8071C" w:rsidRPr="000B320C">
        <w:t xml:space="preserve"> </w:t>
      </w:r>
      <w:r w:rsidR="00772B04">
        <w:t>(</w:t>
      </w:r>
      <w:r w:rsidR="00F8071C" w:rsidRPr="000B320C">
        <w:t>2009</w:t>
      </w:r>
      <w:r w:rsidR="00772B04">
        <w:t>)</w:t>
      </w:r>
      <w:r w:rsidR="00F8071C" w:rsidRPr="000B320C">
        <w:t xml:space="preserve"> Dynamics of Polynesian subsistence: insights from </w:t>
      </w:r>
      <w:proofErr w:type="spellStart"/>
      <w:r w:rsidR="00F8071C" w:rsidRPr="000B320C">
        <w:t>archaeofauna</w:t>
      </w:r>
      <w:proofErr w:type="spellEnd"/>
      <w:r w:rsidR="00F8071C" w:rsidRPr="000B320C">
        <w:t xml:space="preserve"> and stable isotope studies, </w:t>
      </w:r>
      <w:proofErr w:type="spellStart"/>
      <w:r w:rsidR="00F8071C" w:rsidRPr="000B320C">
        <w:t>Aitutaki</w:t>
      </w:r>
      <w:proofErr w:type="spellEnd"/>
      <w:r w:rsidR="00772B04">
        <w:t xml:space="preserve">, Southern Cook Islands. </w:t>
      </w:r>
      <w:r w:rsidR="00772B04" w:rsidRPr="00BF7525">
        <w:t xml:space="preserve">Pac </w:t>
      </w:r>
      <w:proofErr w:type="spellStart"/>
      <w:r w:rsidR="00772B04" w:rsidRPr="00BF7525">
        <w:t>Sci</w:t>
      </w:r>
      <w:proofErr w:type="spellEnd"/>
      <w:r w:rsidR="00F8071C" w:rsidRPr="000B320C">
        <w:t xml:space="preserve"> 63:477-506.</w:t>
      </w:r>
    </w:p>
    <w:p w14:paraId="3B35D823" w14:textId="77777777" w:rsidR="004C3A15" w:rsidRDefault="004C3A15" w:rsidP="004C3A15"/>
    <w:p w14:paraId="1BB192E1" w14:textId="77777777" w:rsidR="004C3A15" w:rsidRPr="000B320C" w:rsidRDefault="004C3A15" w:rsidP="005839F2">
      <w:pPr>
        <w:ind w:left="720" w:hanging="720"/>
      </w:pPr>
      <w:r>
        <w:t xml:space="preserve">2. </w:t>
      </w:r>
      <w:r w:rsidR="005839F2">
        <w:tab/>
      </w:r>
      <w:r>
        <w:t xml:space="preserve">Boric D, </w:t>
      </w:r>
      <w:proofErr w:type="spellStart"/>
      <w:r>
        <w:t>Grupe</w:t>
      </w:r>
      <w:proofErr w:type="spellEnd"/>
      <w:r>
        <w:t xml:space="preserve"> G, Peters</w:t>
      </w:r>
      <w:r w:rsidRPr="000B320C">
        <w:t xml:space="preserve"> J, </w:t>
      </w:r>
      <w:proofErr w:type="spellStart"/>
      <w:r>
        <w:t>Mikic</w:t>
      </w:r>
      <w:proofErr w:type="spellEnd"/>
      <w:r>
        <w:t xml:space="preserve"> Z (</w:t>
      </w:r>
      <w:r w:rsidRPr="000B320C">
        <w:t>2004</w:t>
      </w:r>
      <w:r>
        <w:t>)</w:t>
      </w:r>
      <w:r w:rsidRPr="000B320C">
        <w:t xml:space="preserve"> Is the Mesolithic-Neolithic subsistence dichotomy real? </w:t>
      </w:r>
      <w:proofErr w:type="gramStart"/>
      <w:r w:rsidRPr="000B320C">
        <w:t>New stable isotope evidence from the Danube Gorges.</w:t>
      </w:r>
      <w:proofErr w:type="gramEnd"/>
      <w:r w:rsidRPr="000B320C">
        <w:t xml:space="preserve"> </w:t>
      </w:r>
      <w:proofErr w:type="spellStart"/>
      <w:r w:rsidRPr="00BF7525">
        <w:t>Eur</w:t>
      </w:r>
      <w:proofErr w:type="spellEnd"/>
      <w:r w:rsidRPr="00BF7525">
        <w:t xml:space="preserve"> J </w:t>
      </w:r>
      <w:proofErr w:type="spellStart"/>
      <w:r w:rsidRPr="00BF7525">
        <w:t>Archaeol</w:t>
      </w:r>
      <w:proofErr w:type="spellEnd"/>
      <w:r>
        <w:t xml:space="preserve"> </w:t>
      </w:r>
      <w:r w:rsidRPr="000B320C">
        <w:t>7:221-248.</w:t>
      </w:r>
    </w:p>
    <w:p w14:paraId="065C8541" w14:textId="77777777" w:rsidR="004C3A15" w:rsidRPr="000B320C" w:rsidRDefault="004C3A15" w:rsidP="004C3A15">
      <w:bookmarkStart w:id="0" w:name="_GoBack"/>
      <w:bookmarkEnd w:id="0"/>
    </w:p>
    <w:p w14:paraId="2670B4FA" w14:textId="77777777" w:rsidR="004C3A15" w:rsidRPr="000B320C" w:rsidRDefault="004C3A15" w:rsidP="005839F2">
      <w:pPr>
        <w:ind w:left="720" w:hanging="720"/>
      </w:pPr>
      <w:r>
        <w:lastRenderedPageBreak/>
        <w:t xml:space="preserve">3. </w:t>
      </w:r>
      <w:r w:rsidR="005839F2">
        <w:tab/>
      </w:r>
      <w:r>
        <w:t xml:space="preserve">Cannon A, </w:t>
      </w:r>
      <w:proofErr w:type="spellStart"/>
      <w:r>
        <w:t>Schwarcz</w:t>
      </w:r>
      <w:proofErr w:type="spellEnd"/>
      <w:r>
        <w:t xml:space="preserve"> HP, </w:t>
      </w:r>
      <w:proofErr w:type="spellStart"/>
      <w:r>
        <w:t>Knyf</w:t>
      </w:r>
      <w:proofErr w:type="spellEnd"/>
      <w:r>
        <w:t xml:space="preserve"> H</w:t>
      </w:r>
      <w:r w:rsidRPr="000B320C">
        <w:t xml:space="preserve"> </w:t>
      </w:r>
      <w:r>
        <w:t>(</w:t>
      </w:r>
      <w:r w:rsidRPr="000B320C">
        <w:t>1999</w:t>
      </w:r>
      <w:r>
        <w:t>)</w:t>
      </w:r>
      <w:r w:rsidRPr="000B320C">
        <w:t xml:space="preserve"> Marine-based subsistence trends and the stable isotope analysis of dog bones from </w:t>
      </w:r>
      <w:proofErr w:type="spellStart"/>
      <w:r>
        <w:t>Namu</w:t>
      </w:r>
      <w:proofErr w:type="spellEnd"/>
      <w:r>
        <w:t xml:space="preserve">, British Columbia. </w:t>
      </w:r>
      <w:proofErr w:type="gramStart"/>
      <w:r w:rsidRPr="00BF7525">
        <w:t xml:space="preserve">J </w:t>
      </w:r>
      <w:proofErr w:type="spellStart"/>
      <w:r w:rsidRPr="00BF7525">
        <w:t>Archaeol</w:t>
      </w:r>
      <w:proofErr w:type="spellEnd"/>
      <w:r w:rsidRPr="00BF7525">
        <w:t xml:space="preserve"> </w:t>
      </w:r>
      <w:proofErr w:type="spellStart"/>
      <w:r w:rsidRPr="00BF7525">
        <w:t>Sci</w:t>
      </w:r>
      <w:proofErr w:type="spellEnd"/>
      <w:r w:rsidRPr="000B320C">
        <w:t xml:space="preserve"> 26:399–407.</w:t>
      </w:r>
      <w:proofErr w:type="gramEnd"/>
    </w:p>
    <w:p w14:paraId="4CDBB4A9" w14:textId="77777777" w:rsidR="004C3A15" w:rsidRPr="000B320C" w:rsidRDefault="004C3A15" w:rsidP="004C3A15"/>
    <w:p w14:paraId="23AE8912" w14:textId="77777777" w:rsidR="004C3A15" w:rsidRPr="000B320C" w:rsidRDefault="004C3A15" w:rsidP="005839F2">
      <w:pPr>
        <w:ind w:left="720" w:hanging="720"/>
      </w:pPr>
      <w:r>
        <w:t xml:space="preserve">4. </w:t>
      </w:r>
      <w:r w:rsidR="005839F2">
        <w:tab/>
      </w:r>
      <w:r>
        <w:t xml:space="preserve">Eriksson G, </w:t>
      </w:r>
      <w:proofErr w:type="spellStart"/>
      <w:r>
        <w:t>Linderholm</w:t>
      </w:r>
      <w:proofErr w:type="spellEnd"/>
      <w:r>
        <w:t xml:space="preserve"> A, </w:t>
      </w:r>
      <w:proofErr w:type="spellStart"/>
      <w:r>
        <w:t>Fornander</w:t>
      </w:r>
      <w:proofErr w:type="spellEnd"/>
      <w:r>
        <w:t xml:space="preserve"> E, </w:t>
      </w:r>
      <w:proofErr w:type="spellStart"/>
      <w:r>
        <w:t>Kanstrup</w:t>
      </w:r>
      <w:proofErr w:type="spellEnd"/>
      <w:r>
        <w:t xml:space="preserve"> M, </w:t>
      </w:r>
      <w:proofErr w:type="spellStart"/>
      <w:r>
        <w:t>Schoultz</w:t>
      </w:r>
      <w:proofErr w:type="spellEnd"/>
      <w:r>
        <w:t xml:space="preserve"> P, </w:t>
      </w:r>
      <w:r w:rsidR="00AA5B38">
        <w:t>et al.</w:t>
      </w:r>
      <w:r w:rsidRPr="000B320C">
        <w:t xml:space="preserve"> </w:t>
      </w:r>
      <w:r>
        <w:t>(</w:t>
      </w:r>
      <w:r w:rsidRPr="000B320C">
        <w:t>2008</w:t>
      </w:r>
      <w:r>
        <w:t>)</w:t>
      </w:r>
      <w:r w:rsidRPr="000B320C">
        <w:t xml:space="preserve"> Same island, different diet: Cultural evolution of food practice on </w:t>
      </w:r>
      <w:proofErr w:type="spellStart"/>
      <w:r w:rsidRPr="000B320C">
        <w:t>Öland</w:t>
      </w:r>
      <w:proofErr w:type="spellEnd"/>
      <w:r w:rsidRPr="000B320C">
        <w:t>, Sweden, from the Mesolith</w:t>
      </w:r>
      <w:r>
        <w:t xml:space="preserve">ic to the Roman Period. </w:t>
      </w:r>
      <w:proofErr w:type="gramStart"/>
      <w:r w:rsidRPr="00BF7525">
        <w:t xml:space="preserve">J </w:t>
      </w:r>
      <w:proofErr w:type="spellStart"/>
      <w:r w:rsidRPr="00BF7525">
        <w:t>Anthropol</w:t>
      </w:r>
      <w:proofErr w:type="spellEnd"/>
      <w:r w:rsidRPr="00BF7525">
        <w:t xml:space="preserve"> </w:t>
      </w:r>
      <w:proofErr w:type="spellStart"/>
      <w:r w:rsidRPr="00BF7525">
        <w:t>Archaeol</w:t>
      </w:r>
      <w:proofErr w:type="spellEnd"/>
      <w:r w:rsidRPr="000B320C">
        <w:t xml:space="preserve"> 27:520–543.</w:t>
      </w:r>
      <w:proofErr w:type="gramEnd"/>
    </w:p>
    <w:p w14:paraId="79CD2A90" w14:textId="77777777" w:rsidR="004C3A15" w:rsidRPr="000B320C" w:rsidRDefault="004C3A15" w:rsidP="004C3A15"/>
    <w:p w14:paraId="4EE6CAE6" w14:textId="77777777" w:rsidR="004C3A15" w:rsidRPr="000B320C" w:rsidRDefault="004C3A15" w:rsidP="005839F2">
      <w:pPr>
        <w:ind w:left="720" w:hanging="720"/>
      </w:pPr>
      <w:r>
        <w:t xml:space="preserve">5. </w:t>
      </w:r>
      <w:r w:rsidR="005839F2">
        <w:tab/>
      </w:r>
      <w:proofErr w:type="spellStart"/>
      <w:r>
        <w:t>Fornander</w:t>
      </w:r>
      <w:proofErr w:type="spellEnd"/>
      <w:r>
        <w:t xml:space="preserve"> E, Eriksson G, </w:t>
      </w:r>
      <w:proofErr w:type="spellStart"/>
      <w:r>
        <w:t>Lidén</w:t>
      </w:r>
      <w:proofErr w:type="spellEnd"/>
      <w:r>
        <w:t xml:space="preserve"> K (</w:t>
      </w:r>
      <w:r w:rsidRPr="000B320C">
        <w:t>2008</w:t>
      </w:r>
      <w:r>
        <w:t>)</w:t>
      </w:r>
      <w:r w:rsidRPr="000B320C">
        <w:t xml:space="preserve"> Wild at heart: Approaching Pitted Ware identity, economy and cosmology through stable isotopes in skeletal material from the Neolithic site </w:t>
      </w:r>
      <w:proofErr w:type="spellStart"/>
      <w:r w:rsidRPr="000B320C">
        <w:t>Korsnäs</w:t>
      </w:r>
      <w:proofErr w:type="spellEnd"/>
      <w:r w:rsidRPr="000B320C">
        <w:t xml:space="preserve"> in Eastern Central Sweden. </w:t>
      </w:r>
      <w:r w:rsidRPr="00BF7525">
        <w:t xml:space="preserve">J </w:t>
      </w:r>
      <w:proofErr w:type="spellStart"/>
      <w:r w:rsidRPr="00BF7525">
        <w:t>Anthropol</w:t>
      </w:r>
      <w:proofErr w:type="spellEnd"/>
      <w:r w:rsidRPr="00BF7525">
        <w:t xml:space="preserve"> </w:t>
      </w:r>
      <w:proofErr w:type="spellStart"/>
      <w:r w:rsidRPr="00BF7525">
        <w:t>Archaeol</w:t>
      </w:r>
      <w:proofErr w:type="spellEnd"/>
      <w:r w:rsidRPr="00BF7525">
        <w:t xml:space="preserve"> </w:t>
      </w:r>
      <w:r>
        <w:t>27:</w:t>
      </w:r>
      <w:r w:rsidRPr="000B320C">
        <w:t>281-297.</w:t>
      </w:r>
    </w:p>
    <w:p w14:paraId="0702CBAD" w14:textId="77777777" w:rsidR="004C3A15" w:rsidRPr="000B320C" w:rsidRDefault="004C3A15" w:rsidP="004C3A15"/>
    <w:p w14:paraId="114C5177" w14:textId="77777777" w:rsidR="004C3A15" w:rsidRPr="000B320C" w:rsidRDefault="004C3A15" w:rsidP="005839F2">
      <w:pPr>
        <w:ind w:left="720" w:hanging="720"/>
      </w:pPr>
      <w:r>
        <w:t xml:space="preserve">6. </w:t>
      </w:r>
      <w:r w:rsidR="005839F2">
        <w:tab/>
      </w:r>
      <w:r w:rsidRPr="000B320C">
        <w:t>Le Bras-</w:t>
      </w:r>
      <w:proofErr w:type="spellStart"/>
      <w:r w:rsidRPr="000B320C">
        <w:t>G</w:t>
      </w:r>
      <w:r>
        <w:t>oude</w:t>
      </w:r>
      <w:proofErr w:type="spellEnd"/>
      <w:r>
        <w:t xml:space="preserve"> G, </w:t>
      </w:r>
      <w:proofErr w:type="spellStart"/>
      <w:r>
        <w:t>Claustre</w:t>
      </w:r>
      <w:proofErr w:type="spellEnd"/>
      <w:r>
        <w:t xml:space="preserve"> F</w:t>
      </w:r>
      <w:r w:rsidRPr="000B320C">
        <w:t xml:space="preserve"> </w:t>
      </w:r>
      <w:r>
        <w:t>(</w:t>
      </w:r>
      <w:r w:rsidRPr="000B320C">
        <w:t>2009</w:t>
      </w:r>
      <w:r>
        <w:t>)</w:t>
      </w:r>
      <w:r w:rsidRPr="000B320C">
        <w:t xml:space="preserve"> Exploitation of domestic mammals in the Eastern Pyrenees during the Neolithic: human dietary patterns at the site of </w:t>
      </w:r>
      <w:proofErr w:type="spellStart"/>
      <w:r w:rsidRPr="000B320C">
        <w:t>Montou</w:t>
      </w:r>
      <w:proofErr w:type="spellEnd"/>
      <w:r w:rsidRPr="000B320C">
        <w:t xml:space="preserve"> (</w:t>
      </w:r>
      <w:proofErr w:type="spellStart"/>
      <w:r w:rsidRPr="000B320C">
        <w:t>Corberes</w:t>
      </w:r>
      <w:proofErr w:type="spellEnd"/>
      <w:r w:rsidRPr="000B320C">
        <w:t>-Les-</w:t>
      </w:r>
      <w:proofErr w:type="spellStart"/>
      <w:r w:rsidRPr="000B320C">
        <w:t>Cabanes</w:t>
      </w:r>
      <w:proofErr w:type="spellEnd"/>
      <w:r w:rsidRPr="000B320C">
        <w:t>, France) using bone collagen stable isotopes (δ</w:t>
      </w:r>
      <w:r w:rsidRPr="000B320C">
        <w:rPr>
          <w:vertAlign w:val="superscript"/>
        </w:rPr>
        <w:t>13</w:t>
      </w:r>
      <w:r w:rsidRPr="000B320C">
        <w:t>C, δ</w:t>
      </w:r>
      <w:r w:rsidRPr="000B320C">
        <w:rPr>
          <w:vertAlign w:val="superscript"/>
        </w:rPr>
        <w:t>15</w:t>
      </w:r>
      <w:r w:rsidRPr="000B320C">
        <w:t xml:space="preserve">N). </w:t>
      </w:r>
      <w:r w:rsidRPr="00BF7525">
        <w:t>Vie Milieu</w:t>
      </w:r>
      <w:r>
        <w:t xml:space="preserve"> </w:t>
      </w:r>
      <w:r w:rsidRPr="000B320C">
        <w:t xml:space="preserve">59:215-221. </w:t>
      </w:r>
    </w:p>
    <w:p w14:paraId="37DDFCC0" w14:textId="77777777" w:rsidR="004C3A15" w:rsidRPr="000B320C" w:rsidRDefault="004C3A15" w:rsidP="004C3A15"/>
    <w:p w14:paraId="5A362645" w14:textId="77777777" w:rsidR="004C3A15" w:rsidRPr="000B320C" w:rsidRDefault="004C3A15" w:rsidP="005839F2">
      <w:pPr>
        <w:ind w:left="720" w:hanging="720"/>
      </w:pPr>
      <w:r>
        <w:t xml:space="preserve">7. </w:t>
      </w:r>
      <w:r w:rsidR="005839F2">
        <w:tab/>
      </w:r>
      <w:r>
        <w:t>Rick TC</w:t>
      </w:r>
      <w:r w:rsidRPr="000B320C">
        <w:t xml:space="preserve">, </w:t>
      </w:r>
      <w:proofErr w:type="spellStart"/>
      <w:r w:rsidRPr="000B320C">
        <w:t>Culleton</w:t>
      </w:r>
      <w:proofErr w:type="spellEnd"/>
      <w:r>
        <w:t xml:space="preserve"> BJ, </w:t>
      </w:r>
      <w:r w:rsidRPr="000B320C">
        <w:t>Smith</w:t>
      </w:r>
      <w:r>
        <w:t xml:space="preserve"> CB, </w:t>
      </w:r>
      <w:r w:rsidRPr="000B320C">
        <w:t>Johnson</w:t>
      </w:r>
      <w:r>
        <w:t xml:space="preserve"> JR</w:t>
      </w:r>
      <w:r w:rsidRPr="000B320C">
        <w:t xml:space="preserve">, </w:t>
      </w:r>
      <w:proofErr w:type="spellStart"/>
      <w:proofErr w:type="gramStart"/>
      <w:r>
        <w:t>Kennet</w:t>
      </w:r>
      <w:proofErr w:type="spellEnd"/>
      <w:r>
        <w:t xml:space="preserve"> DJ</w:t>
      </w:r>
      <w:r w:rsidRPr="000B320C">
        <w:t xml:space="preserve"> </w:t>
      </w:r>
      <w:r>
        <w:t>(</w:t>
      </w:r>
      <w:r w:rsidRPr="000B320C">
        <w:t>2011</w:t>
      </w:r>
      <w:r>
        <w:t>)</w:t>
      </w:r>
      <w:r w:rsidRPr="000B320C">
        <w:t xml:space="preserve"> Stable isotope analysis of dog, fox and human diets at a Late Holocene Chumash village (CA-SRI-2) on Santa Rosa Island, California</w:t>
      </w:r>
      <w:proofErr w:type="gramEnd"/>
      <w:r w:rsidRPr="000B320C">
        <w:t xml:space="preserve">. </w:t>
      </w:r>
      <w:r w:rsidRPr="00BF7525">
        <w:t xml:space="preserve">J </w:t>
      </w:r>
      <w:proofErr w:type="spellStart"/>
      <w:r w:rsidRPr="00BF7525">
        <w:t>Archaeol</w:t>
      </w:r>
      <w:proofErr w:type="spellEnd"/>
      <w:r w:rsidRPr="00BF7525">
        <w:t xml:space="preserve"> </w:t>
      </w:r>
      <w:proofErr w:type="spellStart"/>
      <w:r w:rsidRPr="00BF7525">
        <w:t>Sci</w:t>
      </w:r>
      <w:proofErr w:type="spellEnd"/>
      <w:r w:rsidRPr="000B320C">
        <w:t xml:space="preserve"> 38:1385-1393.</w:t>
      </w:r>
    </w:p>
    <w:p w14:paraId="6A66FAB5" w14:textId="77777777" w:rsidR="004C3A15" w:rsidRPr="000B320C" w:rsidRDefault="004C3A15" w:rsidP="004C3A15"/>
    <w:p w14:paraId="0BACE333" w14:textId="77777777" w:rsidR="004C3A15" w:rsidRDefault="004C3A15" w:rsidP="005839F2">
      <w:pPr>
        <w:ind w:left="720" w:hanging="720"/>
      </w:pPr>
      <w:r>
        <w:t xml:space="preserve">8. </w:t>
      </w:r>
      <w:r w:rsidR="005839F2">
        <w:tab/>
      </w:r>
      <w:proofErr w:type="spellStart"/>
      <w:r>
        <w:t>Tykot</w:t>
      </w:r>
      <w:proofErr w:type="spellEnd"/>
      <w:r>
        <w:t xml:space="preserve"> RH, </w:t>
      </w:r>
      <w:proofErr w:type="spellStart"/>
      <w:r>
        <w:t>Falabella</w:t>
      </w:r>
      <w:proofErr w:type="spellEnd"/>
      <w:r>
        <w:t xml:space="preserve"> F, </w:t>
      </w:r>
      <w:proofErr w:type="spellStart"/>
      <w:r>
        <w:t>Planella</w:t>
      </w:r>
      <w:proofErr w:type="spellEnd"/>
      <w:r>
        <w:t xml:space="preserve"> MT, </w:t>
      </w:r>
      <w:proofErr w:type="spellStart"/>
      <w:r>
        <w:t>Aspillaga</w:t>
      </w:r>
      <w:proofErr w:type="spellEnd"/>
      <w:r>
        <w:t xml:space="preserve"> E, </w:t>
      </w:r>
      <w:proofErr w:type="spellStart"/>
      <w:r>
        <w:t>Sanhueza</w:t>
      </w:r>
      <w:proofErr w:type="spellEnd"/>
      <w:r>
        <w:t xml:space="preserve"> L, Becker C</w:t>
      </w:r>
      <w:r w:rsidRPr="000B320C">
        <w:t xml:space="preserve"> </w:t>
      </w:r>
      <w:r>
        <w:t>(</w:t>
      </w:r>
      <w:r w:rsidRPr="000B320C">
        <w:t>2009</w:t>
      </w:r>
      <w:r>
        <w:t>)</w:t>
      </w:r>
      <w:r w:rsidRPr="000B320C">
        <w:t xml:space="preserve"> Stable isotopes and archaeology in Central Chile: methodological insights and interpretive problems for dietary reconstruction. </w:t>
      </w:r>
      <w:proofErr w:type="spellStart"/>
      <w:r w:rsidRPr="00BF7525">
        <w:t>Int</w:t>
      </w:r>
      <w:proofErr w:type="spellEnd"/>
      <w:r w:rsidRPr="00BF7525">
        <w:t xml:space="preserve"> J </w:t>
      </w:r>
      <w:proofErr w:type="spellStart"/>
      <w:r w:rsidRPr="00BF7525">
        <w:t>Osteoarchaeol</w:t>
      </w:r>
      <w:proofErr w:type="spellEnd"/>
      <w:r>
        <w:t xml:space="preserve"> 19:</w:t>
      </w:r>
      <w:r w:rsidRPr="000B320C">
        <w:t>156-170.</w:t>
      </w:r>
    </w:p>
    <w:p w14:paraId="0294CF28" w14:textId="77777777" w:rsidR="00F8071C" w:rsidRPr="000B320C" w:rsidRDefault="005839F2" w:rsidP="004C3A15">
      <w:r>
        <w:tab/>
      </w:r>
    </w:p>
    <w:p w14:paraId="21DBEAC7" w14:textId="77777777" w:rsidR="00F8071C" w:rsidRPr="000B320C" w:rsidRDefault="004C3A15" w:rsidP="005839F2">
      <w:pPr>
        <w:ind w:left="720" w:hanging="720"/>
      </w:pPr>
      <w:r>
        <w:t xml:space="preserve">9. </w:t>
      </w:r>
      <w:r w:rsidR="005839F2">
        <w:tab/>
      </w:r>
      <w:proofErr w:type="spellStart"/>
      <w:r w:rsidR="00772B04">
        <w:t>Allitt</w:t>
      </w:r>
      <w:proofErr w:type="spellEnd"/>
      <w:r w:rsidR="00772B04">
        <w:t xml:space="preserve"> S, Stewart RM</w:t>
      </w:r>
      <w:r w:rsidR="00F8071C" w:rsidRPr="000B320C">
        <w:t xml:space="preserve">, </w:t>
      </w:r>
      <w:proofErr w:type="spellStart"/>
      <w:r w:rsidR="00772B04">
        <w:t>Messner</w:t>
      </w:r>
      <w:proofErr w:type="spellEnd"/>
      <w:r w:rsidR="00772B04">
        <w:t xml:space="preserve"> T</w:t>
      </w:r>
      <w:r w:rsidR="00F8071C" w:rsidRPr="000B320C">
        <w:t xml:space="preserve"> </w:t>
      </w:r>
      <w:r w:rsidR="00772B04">
        <w:t>(</w:t>
      </w:r>
      <w:r w:rsidR="00F8071C" w:rsidRPr="000B320C">
        <w:t>2008</w:t>
      </w:r>
      <w:r w:rsidR="00772B04">
        <w:t>)</w:t>
      </w:r>
      <w:r w:rsidR="00F8071C" w:rsidRPr="000B320C">
        <w:t xml:space="preserve"> The utility of dog bone (</w:t>
      </w:r>
      <w:proofErr w:type="spellStart"/>
      <w:r w:rsidR="00F8071C" w:rsidRPr="000B320C">
        <w:t>Canis</w:t>
      </w:r>
      <w:proofErr w:type="spellEnd"/>
      <w:r w:rsidR="00F8071C" w:rsidRPr="000B320C">
        <w:t xml:space="preserve"> </w:t>
      </w:r>
      <w:proofErr w:type="spellStart"/>
      <w:r w:rsidR="00F8071C" w:rsidRPr="000B320C">
        <w:t>familiaris</w:t>
      </w:r>
      <w:proofErr w:type="spellEnd"/>
      <w:r w:rsidR="00F8071C" w:rsidRPr="000B320C">
        <w:t>) in stable isotope studies for investigating the presence of prehistoric maize (</w:t>
      </w:r>
      <w:proofErr w:type="spellStart"/>
      <w:r w:rsidR="00F8071C" w:rsidRPr="000B320C">
        <w:t>Zea</w:t>
      </w:r>
      <w:proofErr w:type="spellEnd"/>
      <w:r w:rsidR="00F8071C" w:rsidRPr="000B320C">
        <w:t xml:space="preserve"> mays ssp. mays): a preliminary study. </w:t>
      </w:r>
      <w:r w:rsidR="00772B04" w:rsidRPr="00BF7525">
        <w:t>N Am</w:t>
      </w:r>
      <w:r w:rsidR="00F8071C" w:rsidRPr="00BF7525">
        <w:t xml:space="preserve"> </w:t>
      </w:r>
      <w:proofErr w:type="spellStart"/>
      <w:r w:rsidR="00F8071C" w:rsidRPr="00BF7525">
        <w:t>Archaeol</w:t>
      </w:r>
      <w:proofErr w:type="spellEnd"/>
      <w:r w:rsidR="00772B04">
        <w:rPr>
          <w:i/>
        </w:rPr>
        <w:t xml:space="preserve"> </w:t>
      </w:r>
      <w:r w:rsidR="00F8071C" w:rsidRPr="000B320C">
        <w:t>29:343-367.</w:t>
      </w:r>
    </w:p>
    <w:p w14:paraId="0CCAA572" w14:textId="77777777" w:rsidR="004C3A15" w:rsidRDefault="004C3A15" w:rsidP="004C3A15"/>
    <w:p w14:paraId="5539C607" w14:textId="77777777" w:rsidR="004C3A15" w:rsidRPr="000B320C" w:rsidRDefault="004C3A15" w:rsidP="005839F2">
      <w:pPr>
        <w:ind w:left="720" w:hanging="720"/>
      </w:pPr>
      <w:r>
        <w:t xml:space="preserve">10. </w:t>
      </w:r>
      <w:r w:rsidR="005839F2">
        <w:tab/>
      </w:r>
      <w:r>
        <w:t xml:space="preserve">Fischer A, Olsen J, Richards M, </w:t>
      </w:r>
      <w:proofErr w:type="spellStart"/>
      <w:r>
        <w:t>Heinemeier</w:t>
      </w:r>
      <w:proofErr w:type="spellEnd"/>
      <w:r>
        <w:t xml:space="preserve"> J,</w:t>
      </w:r>
      <w:r w:rsidR="0083728E">
        <w:t xml:space="preserve"> </w:t>
      </w:r>
      <w:proofErr w:type="spellStart"/>
      <w:r w:rsidR="0083728E">
        <w:t>Sveinbjö</w:t>
      </w:r>
      <w:r>
        <w:t>rnsdóttir</w:t>
      </w:r>
      <w:proofErr w:type="spellEnd"/>
      <w:r>
        <w:t xml:space="preserve"> ÁE, </w:t>
      </w:r>
      <w:proofErr w:type="spellStart"/>
      <w:r>
        <w:t>Bennike</w:t>
      </w:r>
      <w:proofErr w:type="spellEnd"/>
      <w:r>
        <w:t xml:space="preserve"> P</w:t>
      </w:r>
      <w:r w:rsidRPr="000B320C">
        <w:t xml:space="preserve"> </w:t>
      </w:r>
      <w:r>
        <w:t>(</w:t>
      </w:r>
      <w:r w:rsidRPr="000B320C">
        <w:t>2007</w:t>
      </w:r>
      <w:r>
        <w:t>)</w:t>
      </w:r>
      <w:r w:rsidRPr="000B320C">
        <w:t xml:space="preserve"> Coast–inland mobility and diet in the Danish Mesolithic and Neolithic: evidence from stable isotope va</w:t>
      </w:r>
      <w:r>
        <w:t xml:space="preserve">lues of humans and dogs. </w:t>
      </w:r>
      <w:proofErr w:type="gramStart"/>
      <w:r w:rsidRPr="00BF7525">
        <w:t xml:space="preserve">J </w:t>
      </w:r>
      <w:proofErr w:type="spellStart"/>
      <w:r w:rsidRPr="00BF7525">
        <w:t>Archaeol</w:t>
      </w:r>
      <w:proofErr w:type="spellEnd"/>
      <w:r w:rsidRPr="00BF7525">
        <w:t xml:space="preserve"> </w:t>
      </w:r>
      <w:proofErr w:type="spellStart"/>
      <w:r w:rsidRPr="00BF7525">
        <w:t>Sci</w:t>
      </w:r>
      <w:proofErr w:type="spellEnd"/>
      <w:r w:rsidRPr="00772B04">
        <w:t xml:space="preserve"> 34</w:t>
      </w:r>
      <w:r w:rsidRPr="000B320C">
        <w:t>:2125–2150.</w:t>
      </w:r>
      <w:proofErr w:type="gramEnd"/>
    </w:p>
    <w:p w14:paraId="246EDC8D" w14:textId="77777777" w:rsidR="004C3A15" w:rsidRDefault="004C3A15" w:rsidP="004C3A15"/>
    <w:p w14:paraId="4C0FD72D" w14:textId="77777777" w:rsidR="004C3A15" w:rsidRPr="000B320C" w:rsidRDefault="004C3A15" w:rsidP="005839F2">
      <w:pPr>
        <w:ind w:left="720" w:hanging="720"/>
      </w:pPr>
      <w:r>
        <w:t xml:space="preserve">11. </w:t>
      </w:r>
      <w:r w:rsidR="005839F2">
        <w:tab/>
      </w:r>
      <w:r>
        <w:t>Hogue SH</w:t>
      </w:r>
      <w:r w:rsidRPr="000B320C">
        <w:t xml:space="preserve"> </w:t>
      </w:r>
      <w:r>
        <w:t>(</w:t>
      </w:r>
      <w:r w:rsidRPr="000B320C">
        <w:t>2003</w:t>
      </w:r>
      <w:r>
        <w:t>)</w:t>
      </w:r>
      <w:r w:rsidRPr="000B320C">
        <w:t xml:space="preserve"> Corn dogs and hush puppies: diet and domestication at two </w:t>
      </w:r>
      <w:proofErr w:type="spellStart"/>
      <w:r w:rsidRPr="000B320C">
        <w:t>protohistoric</w:t>
      </w:r>
      <w:proofErr w:type="spellEnd"/>
      <w:r w:rsidRPr="000B320C">
        <w:t xml:space="preserve"> farmsteads in </w:t>
      </w:r>
      <w:proofErr w:type="spellStart"/>
      <w:r w:rsidRPr="000B320C">
        <w:t>Oktibbeha</w:t>
      </w:r>
      <w:proofErr w:type="spellEnd"/>
      <w:r w:rsidRPr="000B320C">
        <w:t xml:space="preserve"> Co</w:t>
      </w:r>
      <w:r>
        <w:t xml:space="preserve">unty, Mississippi. </w:t>
      </w:r>
      <w:r w:rsidRPr="00BF7525">
        <w:t xml:space="preserve">Southeast </w:t>
      </w:r>
      <w:proofErr w:type="spellStart"/>
      <w:r w:rsidRPr="00BF7525">
        <w:t>Archaeol</w:t>
      </w:r>
      <w:proofErr w:type="spellEnd"/>
      <w:r>
        <w:t xml:space="preserve"> 22:</w:t>
      </w:r>
      <w:r w:rsidRPr="000B320C">
        <w:t>185-195.</w:t>
      </w:r>
    </w:p>
    <w:p w14:paraId="16BEBDE7" w14:textId="77777777" w:rsidR="004C3A15" w:rsidRDefault="004C3A15" w:rsidP="004C3A15"/>
    <w:p w14:paraId="2E88179E" w14:textId="77777777" w:rsidR="004C3A15" w:rsidRPr="000B320C" w:rsidRDefault="004C3A15" w:rsidP="004C3A15">
      <w:r>
        <w:t xml:space="preserve">12. </w:t>
      </w:r>
      <w:r w:rsidR="005839F2">
        <w:tab/>
      </w:r>
      <w:r>
        <w:t>Katzenberg MA</w:t>
      </w:r>
      <w:r w:rsidRPr="000B320C">
        <w:t xml:space="preserve"> </w:t>
      </w:r>
      <w:r>
        <w:t>(1989)</w:t>
      </w:r>
      <w:r w:rsidRPr="000B320C">
        <w:t xml:space="preserve"> Stable isotope analysis of archaeological faunal remains from Southern Ontario. </w:t>
      </w:r>
      <w:r w:rsidRPr="00BF7525">
        <w:t xml:space="preserve">J </w:t>
      </w:r>
      <w:proofErr w:type="spellStart"/>
      <w:r w:rsidRPr="00BF7525">
        <w:t>Archaeol</w:t>
      </w:r>
      <w:proofErr w:type="spellEnd"/>
      <w:r w:rsidRPr="00BF7525">
        <w:t xml:space="preserve"> </w:t>
      </w:r>
      <w:proofErr w:type="spellStart"/>
      <w:r w:rsidRPr="00BF7525">
        <w:t>Sci</w:t>
      </w:r>
      <w:proofErr w:type="spellEnd"/>
      <w:r>
        <w:t xml:space="preserve"> 16:</w:t>
      </w:r>
      <w:r w:rsidRPr="000B320C">
        <w:t>319-329.</w:t>
      </w:r>
    </w:p>
    <w:p w14:paraId="35FED3ED" w14:textId="77777777" w:rsidR="004C3A15" w:rsidRPr="000B320C" w:rsidRDefault="004C3A15" w:rsidP="004C3A15"/>
    <w:p w14:paraId="0C150889" w14:textId="77777777" w:rsidR="00F8071C" w:rsidRDefault="004C3A15" w:rsidP="00AA5B38">
      <w:pPr>
        <w:ind w:left="720" w:hanging="720"/>
      </w:pPr>
      <w:r>
        <w:t xml:space="preserve">13. </w:t>
      </w:r>
      <w:r w:rsidR="005839F2">
        <w:tab/>
      </w:r>
      <w:r>
        <w:t>Richards M</w:t>
      </w:r>
      <w:r w:rsidRPr="000B320C">
        <w:t>P</w:t>
      </w:r>
      <w:r>
        <w:t xml:space="preserve">, West E, </w:t>
      </w:r>
      <w:proofErr w:type="spellStart"/>
      <w:r>
        <w:t>Rollet</w:t>
      </w:r>
      <w:proofErr w:type="spellEnd"/>
      <w:r>
        <w:t xml:space="preserve"> B, </w:t>
      </w:r>
      <w:proofErr w:type="spellStart"/>
      <w:r>
        <w:t>Dobney</w:t>
      </w:r>
      <w:proofErr w:type="spellEnd"/>
      <w:r>
        <w:t xml:space="preserve"> K</w:t>
      </w:r>
      <w:r w:rsidRPr="000B320C">
        <w:t xml:space="preserve"> </w:t>
      </w:r>
      <w:r>
        <w:t>(</w:t>
      </w:r>
      <w:r w:rsidRPr="000B320C">
        <w:t>2009</w:t>
      </w:r>
      <w:r>
        <w:t>)</w:t>
      </w:r>
      <w:r w:rsidRPr="000B320C">
        <w:t xml:space="preserve"> Isotope analysis of human and animal diets from the </w:t>
      </w:r>
      <w:proofErr w:type="spellStart"/>
      <w:r w:rsidRPr="000B320C">
        <w:t>Hanamiai</w:t>
      </w:r>
      <w:proofErr w:type="spellEnd"/>
      <w:r w:rsidRPr="000B320C">
        <w:t xml:space="preserve"> archaeological site</w:t>
      </w:r>
      <w:r>
        <w:t xml:space="preserve"> (French Polynesia). </w:t>
      </w:r>
      <w:proofErr w:type="spellStart"/>
      <w:r w:rsidRPr="00BF7525">
        <w:t>Archaeol</w:t>
      </w:r>
      <w:proofErr w:type="spellEnd"/>
      <w:r w:rsidRPr="00BF7525">
        <w:t xml:space="preserve"> Ocean</w:t>
      </w:r>
      <w:r>
        <w:t xml:space="preserve"> 44</w:t>
      </w:r>
      <w:r w:rsidRPr="000B320C">
        <w:t>:29-37.</w:t>
      </w:r>
    </w:p>
    <w:p w14:paraId="1DF536A7" w14:textId="77777777" w:rsidR="00AA5B38" w:rsidRPr="000B320C" w:rsidRDefault="00AA5B38" w:rsidP="00AA5B38">
      <w:pPr>
        <w:ind w:left="720" w:hanging="720"/>
      </w:pPr>
    </w:p>
    <w:p w14:paraId="633E7810" w14:textId="77777777" w:rsidR="004C3A15" w:rsidRPr="00AA5B38" w:rsidRDefault="004C3A15">
      <w:r>
        <w:t xml:space="preserve">14. </w:t>
      </w:r>
      <w:r w:rsidR="005839F2">
        <w:tab/>
      </w:r>
      <w:proofErr w:type="spellStart"/>
      <w:r w:rsidR="00EF3DC3">
        <w:t>Takersley</w:t>
      </w:r>
      <w:proofErr w:type="spellEnd"/>
      <w:r w:rsidR="00EF3DC3">
        <w:t xml:space="preserve"> KB, </w:t>
      </w:r>
      <w:proofErr w:type="spellStart"/>
      <w:r w:rsidR="00EF3DC3">
        <w:t>Koster</w:t>
      </w:r>
      <w:proofErr w:type="spellEnd"/>
      <w:r w:rsidR="00EF3DC3">
        <w:t xml:space="preserve"> JM</w:t>
      </w:r>
      <w:r w:rsidR="00F8071C" w:rsidRPr="000B320C">
        <w:t xml:space="preserve"> </w:t>
      </w:r>
      <w:r w:rsidR="00EF3DC3">
        <w:t>(2009)</w:t>
      </w:r>
      <w:r w:rsidR="00F8071C" w:rsidRPr="000B320C">
        <w:t xml:space="preserve"> Sources of stable isotope variation in archaeological dog</w:t>
      </w:r>
      <w:r w:rsidR="00EF3DC3">
        <w:t xml:space="preserve"> remains. </w:t>
      </w:r>
      <w:r w:rsidR="00EF3DC3" w:rsidRPr="00BF7525">
        <w:t xml:space="preserve">N Am </w:t>
      </w:r>
      <w:proofErr w:type="spellStart"/>
      <w:r w:rsidR="00EF3DC3" w:rsidRPr="00BF7525">
        <w:t>Archaeol</w:t>
      </w:r>
      <w:proofErr w:type="spellEnd"/>
      <w:r w:rsidR="00EF3DC3">
        <w:t xml:space="preserve"> 30</w:t>
      </w:r>
      <w:r w:rsidR="00F8071C" w:rsidRPr="000B320C">
        <w:t>:361-375.</w:t>
      </w:r>
    </w:p>
    <w:sectPr w:rsidR="004C3A15" w:rsidRPr="00AA5B38" w:rsidSect="00F8071C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DF"/>
    <w:rsid w:val="000A51E9"/>
    <w:rsid w:val="000B3DD3"/>
    <w:rsid w:val="0015657A"/>
    <w:rsid w:val="00176E14"/>
    <w:rsid w:val="001C09EE"/>
    <w:rsid w:val="001F66A4"/>
    <w:rsid w:val="00246EBE"/>
    <w:rsid w:val="00282CB3"/>
    <w:rsid w:val="002E4569"/>
    <w:rsid w:val="00351286"/>
    <w:rsid w:val="004754C4"/>
    <w:rsid w:val="004C3A15"/>
    <w:rsid w:val="005839F2"/>
    <w:rsid w:val="005A55F7"/>
    <w:rsid w:val="00693435"/>
    <w:rsid w:val="0070561A"/>
    <w:rsid w:val="00772B04"/>
    <w:rsid w:val="007C02F0"/>
    <w:rsid w:val="007E02CF"/>
    <w:rsid w:val="0083728E"/>
    <w:rsid w:val="009611DF"/>
    <w:rsid w:val="009B01D3"/>
    <w:rsid w:val="00AA5B38"/>
    <w:rsid w:val="00AC2A48"/>
    <w:rsid w:val="00BC5AE0"/>
    <w:rsid w:val="00BF1C5F"/>
    <w:rsid w:val="00BF7525"/>
    <w:rsid w:val="00C0790B"/>
    <w:rsid w:val="00CE7822"/>
    <w:rsid w:val="00CF1E26"/>
    <w:rsid w:val="00E60A30"/>
    <w:rsid w:val="00E679DC"/>
    <w:rsid w:val="00EF3DC3"/>
    <w:rsid w:val="00F46389"/>
    <w:rsid w:val="00F8071C"/>
    <w:rsid w:val="00FC75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A24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9611DF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11DF"/>
  </w:style>
  <w:style w:type="table" w:styleId="TableGrid">
    <w:name w:val="Table Grid"/>
    <w:basedOn w:val="TableNormal"/>
    <w:uiPriority w:val="59"/>
    <w:rsid w:val="00CB23DF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18A5"/>
    <w:rPr>
      <w:color w:val="0000FF"/>
      <w:u w:val="single"/>
    </w:rPr>
  </w:style>
  <w:style w:type="character" w:styleId="CommentReference">
    <w:name w:val="annotation reference"/>
    <w:basedOn w:val="DefaultParagraphFont"/>
    <w:rsid w:val="007E02C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E02CF"/>
  </w:style>
  <w:style w:type="character" w:customStyle="1" w:styleId="CommentTextChar">
    <w:name w:val="Comment Text Char"/>
    <w:basedOn w:val="DefaultParagraphFont"/>
    <w:link w:val="CommentText"/>
    <w:rsid w:val="007E02CF"/>
    <w:rPr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7E02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E02CF"/>
    <w:rPr>
      <w:b/>
      <w:bCs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7E02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2CF"/>
    <w:rPr>
      <w:rFonts w:ascii="Lucida Grande" w:hAnsi="Lucida Grande"/>
      <w:sz w:val="18"/>
      <w:szCs w:val="18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9611DF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11DF"/>
  </w:style>
  <w:style w:type="table" w:styleId="TableGrid">
    <w:name w:val="Table Grid"/>
    <w:basedOn w:val="TableNormal"/>
    <w:uiPriority w:val="59"/>
    <w:rsid w:val="00CB23DF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18A5"/>
    <w:rPr>
      <w:color w:val="0000FF"/>
      <w:u w:val="single"/>
    </w:rPr>
  </w:style>
  <w:style w:type="character" w:styleId="CommentReference">
    <w:name w:val="annotation reference"/>
    <w:basedOn w:val="DefaultParagraphFont"/>
    <w:rsid w:val="007E02C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E02CF"/>
  </w:style>
  <w:style w:type="character" w:customStyle="1" w:styleId="CommentTextChar">
    <w:name w:val="Comment Text Char"/>
    <w:basedOn w:val="DefaultParagraphFont"/>
    <w:link w:val="CommentText"/>
    <w:rsid w:val="007E02CF"/>
    <w:rPr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7E02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E02CF"/>
    <w:rPr>
      <w:b/>
      <w:bCs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7E02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2CF"/>
    <w:rPr>
      <w:rFonts w:ascii="Lucida Grande" w:hAnsi="Lucida Grande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984</Words>
  <Characters>5610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</vt:lpstr>
    </vt:vector>
  </TitlesOfParts>
  <Company>University of Alberta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</dc:title>
  <dc:subject/>
  <dc:creator>Sandra</dc:creator>
  <cp:keywords/>
  <dc:description/>
  <cp:lastModifiedBy>Robert Losey</cp:lastModifiedBy>
  <cp:revision>3</cp:revision>
  <dcterms:created xsi:type="dcterms:W3CDTF">2013-04-12T10:29:00Z</dcterms:created>
  <dcterms:modified xsi:type="dcterms:W3CDTF">2013-04-12T10:55:00Z</dcterms:modified>
</cp:coreProperties>
</file>